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3C" w:rsidRDefault="00847639" w:rsidP="00847639">
      <w:pPr>
        <w:jc w:val="center"/>
        <w:rPr>
          <w:rFonts w:ascii="Times New Roman" w:hAnsi="Times New Roman" w:cs="Times New Roman"/>
          <w:b/>
          <w:sz w:val="26"/>
          <w:szCs w:val="26"/>
        </w:rPr>
      </w:pPr>
      <w:r>
        <w:rPr>
          <w:rFonts w:ascii="Times New Roman" w:hAnsi="Times New Roman" w:cs="Times New Roman"/>
          <w:b/>
          <w:sz w:val="26"/>
          <w:szCs w:val="26"/>
        </w:rPr>
        <w:t xml:space="preserve">Перечень изменений </w:t>
      </w:r>
      <w:r w:rsidR="003D7D90" w:rsidRPr="003D7D90">
        <w:rPr>
          <w:rFonts w:ascii="Times New Roman" w:hAnsi="Times New Roman" w:cs="Times New Roman"/>
          <w:b/>
          <w:sz w:val="26"/>
          <w:szCs w:val="26"/>
        </w:rPr>
        <w:t xml:space="preserve">к </w:t>
      </w:r>
      <w:r w:rsidR="008039A9">
        <w:rPr>
          <w:rFonts w:ascii="Times New Roman" w:hAnsi="Times New Roman" w:cs="Times New Roman"/>
          <w:b/>
          <w:sz w:val="26"/>
          <w:szCs w:val="26"/>
        </w:rPr>
        <w:t>шестнадцатой</w:t>
      </w:r>
      <w:r w:rsidR="009D153C">
        <w:rPr>
          <w:rFonts w:ascii="Times New Roman" w:hAnsi="Times New Roman" w:cs="Times New Roman"/>
          <w:b/>
          <w:sz w:val="26"/>
          <w:szCs w:val="26"/>
        </w:rPr>
        <w:t xml:space="preserve"> редакции </w:t>
      </w:r>
    </w:p>
    <w:p w:rsidR="003D7D90" w:rsidRPr="003D7D90" w:rsidRDefault="009D153C" w:rsidP="003D7D90">
      <w:pPr>
        <w:jc w:val="center"/>
        <w:rPr>
          <w:rStyle w:val="defaultdocbaseattributestylewithoutnowrap1"/>
          <w:rFonts w:ascii="Times New Roman" w:hAnsi="Times New Roman" w:cs="Times New Roman"/>
          <w:b/>
          <w:color w:val="333333"/>
          <w:sz w:val="26"/>
          <w:szCs w:val="26"/>
        </w:rPr>
      </w:pPr>
      <w:r>
        <w:rPr>
          <w:rFonts w:ascii="Times New Roman" w:hAnsi="Times New Roman" w:cs="Times New Roman"/>
          <w:b/>
          <w:sz w:val="26"/>
          <w:szCs w:val="26"/>
        </w:rPr>
        <w:t xml:space="preserve">Положения о закупках товаров, работ, услуг </w:t>
      </w:r>
      <w:r w:rsidR="00847639">
        <w:rPr>
          <w:rFonts w:ascii="Times New Roman" w:hAnsi="Times New Roman" w:cs="Times New Roman"/>
          <w:b/>
          <w:sz w:val="26"/>
          <w:szCs w:val="26"/>
        </w:rPr>
        <w:t>П</w:t>
      </w:r>
      <w:r>
        <w:rPr>
          <w:rFonts w:ascii="Times New Roman" w:hAnsi="Times New Roman" w:cs="Times New Roman"/>
          <w:b/>
          <w:sz w:val="26"/>
          <w:szCs w:val="26"/>
        </w:rPr>
        <w:t>АО «Ростелеком»</w:t>
      </w:r>
    </w:p>
    <w:p w:rsidR="00E64F12" w:rsidRDefault="00E64F12" w:rsidP="003D7D90">
      <w:pPr>
        <w:rPr>
          <w:rStyle w:val="defaultdocbaseattributestylewithoutnowrap1"/>
          <w:rFonts w:ascii="Times New Roman" w:hAnsi="Times New Roman" w:cs="Times New Roman"/>
          <w:color w:val="333333"/>
          <w:sz w:val="26"/>
          <w:szCs w:val="26"/>
        </w:rPr>
      </w:pPr>
    </w:p>
    <w:tbl>
      <w:tblPr>
        <w:tblStyle w:val="a8"/>
        <w:tblW w:w="15304" w:type="dxa"/>
        <w:tblLayout w:type="fixed"/>
        <w:tblLook w:val="04A0" w:firstRow="1" w:lastRow="0" w:firstColumn="1" w:lastColumn="0" w:noHBand="0" w:noVBand="1"/>
      </w:tblPr>
      <w:tblGrid>
        <w:gridCol w:w="562"/>
        <w:gridCol w:w="7088"/>
        <w:gridCol w:w="7654"/>
      </w:tblGrid>
      <w:tr w:rsidR="00847639" w:rsidRPr="00CB38B4" w:rsidTr="00F07E8C">
        <w:tc>
          <w:tcPr>
            <w:tcW w:w="562" w:type="dxa"/>
            <w:shd w:val="clear" w:color="auto" w:fill="D9D9D9" w:themeFill="background1" w:themeFillShade="D9"/>
          </w:tcPr>
          <w:p w:rsidR="00847639" w:rsidRPr="00CB38B4" w:rsidRDefault="00847639" w:rsidP="00847639">
            <w:pPr>
              <w:jc w:val="center"/>
              <w:rPr>
                <w:rStyle w:val="defaultdocbaseattributestylewithoutnowrap1"/>
                <w:rFonts w:ascii="Times New Roman" w:hAnsi="Times New Roman" w:cs="Times New Roman"/>
                <w:b/>
                <w:color w:val="333333"/>
                <w:sz w:val="26"/>
                <w:szCs w:val="26"/>
              </w:rPr>
            </w:pPr>
            <w:r w:rsidRPr="00CB38B4">
              <w:rPr>
                <w:rStyle w:val="defaultdocbaseattributestylewithoutnowrap1"/>
                <w:rFonts w:ascii="Times New Roman" w:hAnsi="Times New Roman" w:cs="Times New Roman"/>
                <w:b/>
                <w:color w:val="333333"/>
                <w:sz w:val="26"/>
                <w:szCs w:val="26"/>
              </w:rPr>
              <w:t>№</w:t>
            </w:r>
          </w:p>
        </w:tc>
        <w:tc>
          <w:tcPr>
            <w:tcW w:w="7088" w:type="dxa"/>
            <w:shd w:val="clear" w:color="auto" w:fill="D9D9D9" w:themeFill="background1" w:themeFillShade="D9"/>
          </w:tcPr>
          <w:p w:rsidR="00847639" w:rsidRPr="008039A9" w:rsidRDefault="00847639" w:rsidP="008039A9">
            <w:pPr>
              <w:pStyle w:val="a3"/>
              <w:numPr>
                <w:ilvl w:val="0"/>
                <w:numId w:val="32"/>
              </w:numPr>
              <w:jc w:val="center"/>
              <w:rPr>
                <w:rStyle w:val="defaultdocbaseattributestylewithoutnowrap1"/>
                <w:rFonts w:ascii="Times New Roman" w:hAnsi="Times New Roman" w:cs="Times New Roman"/>
                <w:b/>
                <w:color w:val="333333"/>
                <w:sz w:val="26"/>
                <w:szCs w:val="26"/>
              </w:rPr>
            </w:pPr>
            <w:r w:rsidRPr="008039A9">
              <w:rPr>
                <w:rStyle w:val="defaultdocbaseattributestylewithoutnowrap1"/>
                <w:rFonts w:ascii="Times New Roman" w:hAnsi="Times New Roman" w:cs="Times New Roman"/>
                <w:b/>
                <w:color w:val="333333"/>
                <w:sz w:val="26"/>
                <w:szCs w:val="26"/>
              </w:rPr>
              <w:t>редакция</w:t>
            </w:r>
          </w:p>
        </w:tc>
        <w:tc>
          <w:tcPr>
            <w:tcW w:w="7654" w:type="dxa"/>
            <w:shd w:val="clear" w:color="auto" w:fill="D9D9D9" w:themeFill="background1" w:themeFillShade="D9"/>
          </w:tcPr>
          <w:p w:rsidR="00847639" w:rsidRPr="008039A9" w:rsidRDefault="008039A9" w:rsidP="008039A9">
            <w:pPr>
              <w:ind w:left="75"/>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16</w:t>
            </w:r>
            <w:r w:rsidR="00EE742D" w:rsidRPr="008039A9">
              <w:rPr>
                <w:rStyle w:val="defaultdocbaseattributestylewithoutnowrap1"/>
                <w:rFonts w:ascii="Times New Roman" w:hAnsi="Times New Roman" w:cs="Times New Roman"/>
                <w:b/>
                <w:color w:val="333333"/>
                <w:sz w:val="26"/>
                <w:szCs w:val="26"/>
                <w:lang w:val="en-US"/>
              </w:rPr>
              <w:t xml:space="preserve"> </w:t>
            </w:r>
            <w:r w:rsidR="00847639" w:rsidRPr="008039A9">
              <w:rPr>
                <w:rStyle w:val="defaultdocbaseattributestylewithoutnowrap1"/>
                <w:rFonts w:ascii="Times New Roman" w:hAnsi="Times New Roman" w:cs="Times New Roman"/>
                <w:b/>
                <w:color w:val="333333"/>
                <w:sz w:val="26"/>
                <w:szCs w:val="26"/>
              </w:rPr>
              <w:t>редакция</w:t>
            </w:r>
          </w:p>
        </w:tc>
      </w:tr>
      <w:tr w:rsidR="006F29EC" w:rsidRPr="00CB38B4" w:rsidTr="00F07E8C">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w:t>
            </w:r>
          </w:p>
        </w:tc>
        <w:tc>
          <w:tcPr>
            <w:tcW w:w="7088" w:type="dxa"/>
            <w:shd w:val="clear" w:color="auto" w:fill="auto"/>
          </w:tcPr>
          <w:p w:rsidR="006F29EC" w:rsidRPr="00A309E7" w:rsidRDefault="006F29EC" w:rsidP="006F29EC">
            <w:pPr>
              <w:pStyle w:val="a3"/>
              <w:ind w:left="0"/>
              <w:rPr>
                <w:rStyle w:val="defaultdocbaseattributestylewithoutnowrap1"/>
                <w:rFonts w:ascii="Times New Roman" w:hAnsi="Times New Roman" w:cs="Times New Roman"/>
                <w:color w:val="333333"/>
                <w:sz w:val="26"/>
                <w:szCs w:val="26"/>
              </w:rPr>
            </w:pPr>
            <w:r w:rsidRPr="00A309E7">
              <w:rPr>
                <w:rStyle w:val="defaultdocbaseattributestylewithoutnowrap1"/>
                <w:rFonts w:ascii="Times New Roman" w:hAnsi="Times New Roman" w:cs="Times New Roman"/>
                <w:color w:val="333333"/>
                <w:sz w:val="26"/>
                <w:szCs w:val="26"/>
              </w:rPr>
              <w:t>Пункт отсутствовал</w:t>
            </w:r>
          </w:p>
        </w:tc>
        <w:tc>
          <w:tcPr>
            <w:tcW w:w="7654" w:type="dxa"/>
            <w:shd w:val="clear" w:color="auto" w:fill="auto"/>
          </w:tcPr>
          <w:p w:rsidR="006F29EC" w:rsidRPr="00A309E7" w:rsidRDefault="006F29EC" w:rsidP="006F29EC">
            <w:pPr>
              <w:suppressAutoHyphens/>
              <w:jc w:val="both"/>
              <w:rPr>
                <w:rFonts w:ascii="Times New Roman" w:hAnsi="Times New Roman" w:cs="Times New Roman"/>
                <w:sz w:val="26"/>
                <w:szCs w:val="26"/>
              </w:rPr>
            </w:pPr>
            <w:r w:rsidRPr="00406309">
              <w:rPr>
                <w:rFonts w:ascii="Times New Roman" w:hAnsi="Times New Roman" w:cs="Times New Roman"/>
                <w:b/>
                <w:sz w:val="26"/>
                <w:szCs w:val="26"/>
              </w:rPr>
              <w:t>7.9.</w:t>
            </w:r>
            <w:r w:rsidRPr="00A309E7">
              <w:rPr>
                <w:rFonts w:ascii="Times New Roman" w:hAnsi="Times New Roman" w:cs="Times New Roman"/>
                <w:sz w:val="26"/>
                <w:szCs w:val="26"/>
              </w:rPr>
              <w:t xml:space="preserve"> Общество вправе до заключения договора запросить дополнительную скидку у победителя (победителей) закупки.</w:t>
            </w:r>
          </w:p>
          <w:p w:rsidR="006F29EC" w:rsidRPr="00A309E7" w:rsidRDefault="006F29EC" w:rsidP="006F29EC">
            <w:pPr>
              <w:pStyle w:val="a3"/>
              <w:ind w:left="0"/>
              <w:rPr>
                <w:rStyle w:val="defaultdocbaseattributestylewithoutnowrap1"/>
                <w:rFonts w:ascii="Times New Roman" w:hAnsi="Times New Roman" w:cs="Times New Roman"/>
                <w:color w:val="333333"/>
                <w:sz w:val="26"/>
                <w:szCs w:val="26"/>
              </w:rPr>
            </w:pPr>
          </w:p>
        </w:tc>
      </w:tr>
      <w:tr w:rsidR="006F29EC" w:rsidRPr="00CB38B4" w:rsidTr="00F07E8C">
        <w:tc>
          <w:tcPr>
            <w:tcW w:w="562" w:type="dxa"/>
            <w:shd w:val="clear" w:color="auto" w:fill="auto"/>
          </w:tcPr>
          <w:p w:rsidR="006F29EC" w:rsidRPr="00B23764"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2.</w:t>
            </w:r>
          </w:p>
        </w:tc>
        <w:tc>
          <w:tcPr>
            <w:tcW w:w="7088" w:type="dxa"/>
            <w:shd w:val="clear" w:color="auto" w:fill="auto"/>
          </w:tcPr>
          <w:p w:rsidR="006F29EC" w:rsidRPr="00A309E7" w:rsidRDefault="006F29EC" w:rsidP="006F29EC">
            <w:pPr>
              <w:pStyle w:val="a3"/>
              <w:ind w:left="0"/>
              <w:jc w:val="both"/>
              <w:rPr>
                <w:rStyle w:val="defaultdocbaseattributestylewithoutnowrap1"/>
                <w:rFonts w:ascii="Times New Roman" w:hAnsi="Times New Roman" w:cs="Times New Roman"/>
                <w:color w:val="333333"/>
                <w:sz w:val="26"/>
                <w:szCs w:val="26"/>
              </w:rPr>
            </w:pPr>
            <w:r w:rsidRPr="00F07E8C">
              <w:rPr>
                <w:rStyle w:val="defaultdocbaseattributestylewithoutnowrap1"/>
                <w:rFonts w:ascii="Times New Roman" w:hAnsi="Times New Roman" w:cs="Times New Roman"/>
                <w:b/>
                <w:color w:val="333333"/>
                <w:sz w:val="26"/>
                <w:szCs w:val="26"/>
              </w:rPr>
              <w:t>8.1.</w:t>
            </w:r>
            <w:r w:rsidRPr="00F07E8C">
              <w:rPr>
                <w:rStyle w:val="defaultdocbaseattributestylewithoutnowrap1"/>
                <w:rFonts w:ascii="Times New Roman" w:hAnsi="Times New Roman" w:cs="Times New Roman"/>
                <w:color w:val="333333"/>
                <w:sz w:val="26"/>
                <w:szCs w:val="26"/>
              </w:rPr>
              <w:t xml:space="preserve"> Открытая предквалификация – деятельность Общества по формированию Реестра потенциальных участников, осуществляемая в соответствии с настоящим Положением и Порядком осуществления предквалификации.</w:t>
            </w:r>
          </w:p>
        </w:tc>
        <w:tc>
          <w:tcPr>
            <w:tcW w:w="7654" w:type="dxa"/>
            <w:shd w:val="clear" w:color="auto" w:fill="auto"/>
          </w:tcPr>
          <w:p w:rsidR="006F29EC" w:rsidRPr="00F07E8C" w:rsidRDefault="006F29EC" w:rsidP="006F29EC">
            <w:pPr>
              <w:suppressAutoHyphens/>
              <w:jc w:val="both"/>
              <w:rPr>
                <w:rFonts w:ascii="Times New Roman" w:hAnsi="Times New Roman" w:cs="Times New Roman"/>
                <w:sz w:val="26"/>
                <w:szCs w:val="26"/>
              </w:rPr>
            </w:pPr>
            <w:r w:rsidRPr="00F07E8C">
              <w:rPr>
                <w:rFonts w:ascii="Times New Roman" w:hAnsi="Times New Roman" w:cs="Times New Roman"/>
                <w:b/>
                <w:sz w:val="26"/>
                <w:szCs w:val="26"/>
              </w:rPr>
              <w:t>8.1.</w:t>
            </w:r>
            <w:r w:rsidRPr="00F07E8C">
              <w:rPr>
                <w:rFonts w:ascii="Times New Roman" w:hAnsi="Times New Roman" w:cs="Times New Roman"/>
                <w:sz w:val="26"/>
                <w:szCs w:val="26"/>
              </w:rPr>
              <w:t xml:space="preserve"> Открытая предквалификация – деятельность Общества по формированию Реестра потенциальных участников, осуществляемая в соответствии с настоящим Положением и Порядком осуществления предквалификации. Открытая предквалификация не является процедурой закупки по смыслу ФЗ от 18.07.2011 г. № 223-ФЗ и настоящего Положения, и не налагает на Общество обязательств по заключению гражданско-правового договора по результатам её проведения и/или по проведению последующих закупочных процедур среди лиц, включённых в Реестр потенциальных участников.</w:t>
            </w:r>
          </w:p>
        </w:tc>
      </w:tr>
      <w:tr w:rsidR="006F29EC" w:rsidRPr="00CB38B4" w:rsidTr="00F07E8C">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3.</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F07E8C">
              <w:rPr>
                <w:rStyle w:val="defaultdocbaseattributestylewithoutnowrap1"/>
                <w:rFonts w:ascii="Times New Roman" w:hAnsi="Times New Roman" w:cs="Times New Roman"/>
                <w:b/>
                <w:color w:val="333333"/>
                <w:sz w:val="26"/>
                <w:szCs w:val="26"/>
              </w:rPr>
              <w:t xml:space="preserve">8.2. </w:t>
            </w:r>
            <w:r w:rsidRPr="00F07E8C">
              <w:rPr>
                <w:rStyle w:val="defaultdocbaseattributestylewithoutnowrap1"/>
                <w:rFonts w:ascii="Times New Roman" w:hAnsi="Times New Roman" w:cs="Times New Roman"/>
                <w:color w:val="333333"/>
                <w:sz w:val="26"/>
                <w:szCs w:val="26"/>
              </w:rPr>
              <w:t>Общество осуществляет Открытую предквалификацию и формирует Реестр потенциальных участников в целях своевременного и полного удовлетворения своих потребностей в определённых видах товаров, работ, услуг с необходимыми показателями цены, качества и надёжности, эффективного использования денежных средств.</w:t>
            </w:r>
          </w:p>
        </w:tc>
        <w:tc>
          <w:tcPr>
            <w:tcW w:w="7654" w:type="dxa"/>
            <w:shd w:val="clear" w:color="auto" w:fill="auto"/>
          </w:tcPr>
          <w:p w:rsidR="006F29EC" w:rsidRPr="00F07E8C" w:rsidRDefault="006F29EC" w:rsidP="006F29EC">
            <w:pPr>
              <w:suppressAutoHyphens/>
              <w:jc w:val="both"/>
              <w:rPr>
                <w:rFonts w:ascii="Times New Roman" w:hAnsi="Times New Roman" w:cs="Times New Roman"/>
                <w:b/>
                <w:sz w:val="26"/>
                <w:szCs w:val="26"/>
              </w:rPr>
            </w:pPr>
            <w:r w:rsidRPr="00F07E8C">
              <w:rPr>
                <w:rFonts w:ascii="Times New Roman" w:hAnsi="Times New Roman" w:cs="Times New Roman"/>
                <w:b/>
                <w:sz w:val="26"/>
                <w:szCs w:val="26"/>
              </w:rPr>
              <w:t xml:space="preserve">8.2. </w:t>
            </w:r>
            <w:r w:rsidRPr="00F07E8C">
              <w:rPr>
                <w:rFonts w:ascii="Times New Roman" w:hAnsi="Times New Roman" w:cs="Times New Roman"/>
                <w:sz w:val="26"/>
                <w:szCs w:val="26"/>
              </w:rPr>
              <w:t>Общество осуществляет Открытую предквалификацию и формирует Реестр потенциальных участников в целях своевременного и полного удовлетворения своих потребностей в определённых видах товаров, работ, услуг с необходимыми показателями цены, качества и надёжности, эффективного использования денежных средств, а также с целью проверки уровня квалификации потенциальных Участников и их способности в дальнейшем поставить товары, выполнить работы, оказать услуги.</w:t>
            </w:r>
          </w:p>
        </w:tc>
      </w:tr>
      <w:tr w:rsidR="006F29EC" w:rsidRPr="00CB38B4" w:rsidTr="00F07E8C">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4.</w:t>
            </w:r>
          </w:p>
        </w:tc>
        <w:tc>
          <w:tcPr>
            <w:tcW w:w="7088" w:type="dxa"/>
            <w:shd w:val="clear" w:color="auto" w:fill="auto"/>
          </w:tcPr>
          <w:p w:rsidR="006F29EC" w:rsidRPr="00F07E8C" w:rsidRDefault="006F29EC" w:rsidP="006F29EC">
            <w:pPr>
              <w:pStyle w:val="a3"/>
              <w:ind w:left="37"/>
              <w:jc w:val="both"/>
              <w:rPr>
                <w:rStyle w:val="defaultdocbaseattributestylewithoutnowrap1"/>
                <w:rFonts w:ascii="Times New Roman" w:hAnsi="Times New Roman" w:cs="Times New Roman"/>
                <w:color w:val="333333"/>
                <w:sz w:val="26"/>
                <w:szCs w:val="26"/>
              </w:rPr>
            </w:pPr>
            <w:r w:rsidRPr="00F07E8C">
              <w:rPr>
                <w:rStyle w:val="defaultdocbaseattributestylewithoutnowrap1"/>
                <w:rFonts w:ascii="Times New Roman" w:hAnsi="Times New Roman" w:cs="Times New Roman"/>
                <w:b/>
                <w:color w:val="333333"/>
                <w:sz w:val="26"/>
                <w:szCs w:val="26"/>
              </w:rPr>
              <w:t xml:space="preserve">8.4. </w:t>
            </w:r>
            <w:r w:rsidRPr="00F07E8C">
              <w:rPr>
                <w:rStyle w:val="defaultdocbaseattributestylewithoutnowrap1"/>
                <w:rFonts w:ascii="Times New Roman" w:hAnsi="Times New Roman" w:cs="Times New Roman"/>
                <w:color w:val="333333"/>
                <w:sz w:val="26"/>
                <w:szCs w:val="26"/>
              </w:rPr>
              <w:t xml:space="preserve">Если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Общество имеет право провести закупку и установить в Документации (Извещении </w:t>
            </w:r>
            <w:r w:rsidRPr="00F07E8C">
              <w:rPr>
                <w:rStyle w:val="defaultdocbaseattributestylewithoutnowrap1"/>
                <w:rFonts w:ascii="Times New Roman" w:hAnsi="Times New Roman" w:cs="Times New Roman"/>
                <w:color w:val="333333"/>
                <w:sz w:val="26"/>
                <w:szCs w:val="26"/>
              </w:rPr>
              <w:lastRenderedPageBreak/>
              <w:t>о проведении запроса котировок) о закупке требование о наличии в Реестре потенциальных участников сведений об Участнике.</w:t>
            </w:r>
          </w:p>
          <w:p w:rsidR="006F29EC" w:rsidRPr="00F07E8C" w:rsidRDefault="006F29EC" w:rsidP="006F29EC">
            <w:pPr>
              <w:pStyle w:val="a3"/>
              <w:ind w:left="37"/>
              <w:jc w:val="both"/>
              <w:rPr>
                <w:rStyle w:val="defaultdocbaseattributestylewithoutnowrap1"/>
                <w:rFonts w:ascii="Times New Roman" w:hAnsi="Times New Roman" w:cs="Times New Roman"/>
                <w:b/>
                <w:color w:val="333333"/>
                <w:sz w:val="26"/>
                <w:szCs w:val="26"/>
              </w:rPr>
            </w:pPr>
            <w:r w:rsidRPr="00F07E8C">
              <w:rPr>
                <w:rStyle w:val="defaultdocbaseattributestylewithoutnowrap1"/>
                <w:rFonts w:ascii="Times New Roman" w:hAnsi="Times New Roman" w:cs="Times New Roman"/>
                <w:color w:val="333333"/>
                <w:sz w:val="26"/>
                <w:szCs w:val="26"/>
              </w:rPr>
              <w:t>Общество имеет право в Документации о закупке установить к Участнику требование о наличии в Реестре потенциальных участников сведений только в том случае, когда на момент размещения Извещения о закупке и Документации о закупке в соответствующий Реестр потенциальных участников внесены сведения более чем о 2 (двух) Потенциальных участниках.</w:t>
            </w:r>
          </w:p>
        </w:tc>
        <w:tc>
          <w:tcPr>
            <w:tcW w:w="7654" w:type="dxa"/>
            <w:shd w:val="clear" w:color="auto" w:fill="auto"/>
          </w:tcPr>
          <w:p w:rsidR="006F29EC" w:rsidRPr="00F07E8C" w:rsidRDefault="006F29EC" w:rsidP="006F29EC">
            <w:pPr>
              <w:suppressAutoHyphens/>
              <w:jc w:val="both"/>
              <w:rPr>
                <w:rFonts w:ascii="Times New Roman" w:hAnsi="Times New Roman" w:cs="Times New Roman"/>
                <w:sz w:val="26"/>
                <w:szCs w:val="26"/>
              </w:rPr>
            </w:pPr>
            <w:r w:rsidRPr="00F07E8C">
              <w:rPr>
                <w:rStyle w:val="defaultdocbaseattributestylewithoutnowrap1"/>
                <w:rFonts w:ascii="Times New Roman" w:hAnsi="Times New Roman" w:cs="Times New Roman"/>
                <w:b/>
                <w:color w:val="333333"/>
                <w:sz w:val="26"/>
                <w:szCs w:val="26"/>
              </w:rPr>
              <w:lastRenderedPageBreak/>
              <w:t xml:space="preserve">8.4. </w:t>
            </w:r>
            <w:r w:rsidRPr="00F07E8C">
              <w:rPr>
                <w:rFonts w:ascii="Times New Roman" w:hAnsi="Times New Roman" w:cs="Times New Roman"/>
                <w:sz w:val="26"/>
                <w:szCs w:val="26"/>
              </w:rPr>
              <w:t xml:space="preserve">Если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Общество имеет право провести закупку, в Извещении о закупке и/или Документации о закупке, </w:t>
            </w:r>
            <w:r w:rsidRPr="00F07E8C">
              <w:rPr>
                <w:rFonts w:ascii="Times New Roman" w:hAnsi="Times New Roman" w:cs="Times New Roman"/>
                <w:sz w:val="26"/>
                <w:szCs w:val="26"/>
              </w:rPr>
              <w:lastRenderedPageBreak/>
              <w:t>которой помимо прочего будет установлено требование о наличии в Реестре потенциальных участников сведений об Участнике.</w:t>
            </w:r>
          </w:p>
          <w:p w:rsidR="006F29EC" w:rsidRPr="00F07E8C" w:rsidRDefault="006F29EC" w:rsidP="006F29EC">
            <w:pPr>
              <w:suppressAutoHyphens/>
              <w:jc w:val="both"/>
              <w:rPr>
                <w:rFonts w:ascii="Times New Roman" w:hAnsi="Times New Roman" w:cs="Times New Roman"/>
                <w:b/>
                <w:sz w:val="26"/>
                <w:szCs w:val="26"/>
              </w:rPr>
            </w:pPr>
            <w:r w:rsidRPr="00F07E8C">
              <w:rPr>
                <w:rFonts w:ascii="Times New Roman" w:hAnsi="Times New Roman" w:cs="Times New Roman"/>
                <w:sz w:val="26"/>
                <w:szCs w:val="26"/>
              </w:rPr>
              <w:t>Общество имеет право в Извещении о закупке, Документации о закупке установить к Участнику требование о наличии в Реестре потенциальных участников сведений только в том случае, когда на момент размещения Извещения о закупке, Документации о закупке в соответствующий Реестр потенциальных участников внесены сведения более чем о 2 (двух) Потенциальных участниках.</w:t>
            </w:r>
          </w:p>
        </w:tc>
      </w:tr>
      <w:tr w:rsidR="006F29EC" w:rsidRPr="00CB38B4" w:rsidTr="00F07E8C">
        <w:tc>
          <w:tcPr>
            <w:tcW w:w="562" w:type="dxa"/>
            <w:shd w:val="clear" w:color="auto" w:fill="auto"/>
          </w:tcPr>
          <w:p w:rsidR="006F29EC" w:rsidRPr="00591222"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lastRenderedPageBreak/>
              <w:t xml:space="preserve">5. </w:t>
            </w:r>
          </w:p>
        </w:tc>
        <w:tc>
          <w:tcPr>
            <w:tcW w:w="7088" w:type="dxa"/>
            <w:shd w:val="clear" w:color="auto" w:fill="auto"/>
          </w:tcPr>
          <w:p w:rsidR="006F29EC" w:rsidRPr="001619CB" w:rsidRDefault="006F29EC" w:rsidP="006F29EC">
            <w:pPr>
              <w:jc w:val="both"/>
              <w:rPr>
                <w:rStyle w:val="defaultdocbaseattributestylewithoutnowrap1"/>
                <w:rFonts w:ascii="Times New Roman" w:hAnsi="Times New Roman" w:cs="Times New Roman"/>
                <w:color w:val="333333"/>
                <w:sz w:val="26"/>
                <w:szCs w:val="26"/>
              </w:rPr>
            </w:pPr>
            <w:r w:rsidRPr="001619CB">
              <w:rPr>
                <w:rStyle w:val="defaultdocbaseattributestylewithoutnowrap1"/>
                <w:rFonts w:ascii="Times New Roman" w:hAnsi="Times New Roman" w:cs="Times New Roman"/>
                <w:b/>
                <w:color w:val="333333"/>
                <w:sz w:val="26"/>
                <w:szCs w:val="26"/>
              </w:rPr>
              <w:t xml:space="preserve">8.5. </w:t>
            </w:r>
            <w:r w:rsidRPr="001619CB">
              <w:rPr>
                <w:rStyle w:val="defaultdocbaseattributestylewithoutnowrap1"/>
                <w:rFonts w:ascii="Times New Roman" w:hAnsi="Times New Roman" w:cs="Times New Roman"/>
                <w:color w:val="333333"/>
                <w:sz w:val="26"/>
                <w:szCs w:val="26"/>
              </w:rPr>
              <w:t>Если в Документации о закупке установлено требование к Участникам о наличии в Реестре потенциальных участников, то в такой Документации о закупке не устанавливаются отдельно к Участникам требования, соответствие которым было признано при осуществлении Открытой предквалификации.</w:t>
            </w:r>
          </w:p>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1619CB">
              <w:rPr>
                <w:rStyle w:val="defaultdocbaseattributestylewithoutnowrap1"/>
                <w:rFonts w:ascii="Times New Roman" w:hAnsi="Times New Roman" w:cs="Times New Roman"/>
                <w:color w:val="333333"/>
                <w:sz w:val="26"/>
                <w:szCs w:val="26"/>
              </w:rPr>
              <w:t>Если в Документации о закупке не установлено требование к Участнику о наличии в Реестре потенциальных участников сведений об Участнике, но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Участники, сведения о которых внесены в указанный Реестр потенциальных участников, могут подтвердить своё соответствие требованиям к Участнику, соответствие которым было признано при осуществлении соответствующей Открытой предквалификации, предоставлением выписки из протокола о рассмотрении Заявок о включении в реестр, установленной п. 8.27 настоящего Положения.</w:t>
            </w:r>
          </w:p>
        </w:tc>
        <w:tc>
          <w:tcPr>
            <w:tcW w:w="7654" w:type="dxa"/>
            <w:shd w:val="clear" w:color="auto" w:fill="auto"/>
          </w:tcPr>
          <w:p w:rsidR="006F29EC" w:rsidRPr="00F07E8C"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t>Пункт удален с корректировкой нумерации</w:t>
            </w:r>
          </w:p>
        </w:tc>
      </w:tr>
      <w:tr w:rsidR="006F29EC" w:rsidRPr="00CB38B4" w:rsidTr="00F07E8C">
        <w:trPr>
          <w:trHeight w:val="627"/>
        </w:trPr>
        <w:tc>
          <w:tcPr>
            <w:tcW w:w="562" w:type="dxa"/>
            <w:shd w:val="clear" w:color="auto" w:fill="auto"/>
          </w:tcPr>
          <w:p w:rsidR="006F29EC" w:rsidRDefault="006F29EC" w:rsidP="006F29EC">
            <w:pP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lastRenderedPageBreak/>
              <w:t>6.</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1619CB">
              <w:rPr>
                <w:rStyle w:val="defaultdocbaseattributestylewithoutnowrap1"/>
                <w:rFonts w:ascii="Times New Roman" w:hAnsi="Times New Roman" w:cs="Times New Roman"/>
                <w:b/>
                <w:color w:val="333333"/>
                <w:sz w:val="26"/>
                <w:szCs w:val="26"/>
              </w:rPr>
              <w:t xml:space="preserve">8.8.2. </w:t>
            </w:r>
            <w:r w:rsidRPr="001619CB">
              <w:rPr>
                <w:rStyle w:val="defaultdocbaseattributestylewithoutnowrap1"/>
                <w:rFonts w:ascii="Times New Roman" w:hAnsi="Times New Roman" w:cs="Times New Roman"/>
                <w:color w:val="333333"/>
                <w:sz w:val="26"/>
                <w:szCs w:val="26"/>
              </w:rPr>
              <w:t>Порядок осуществления предквалификации.</w:t>
            </w:r>
          </w:p>
        </w:tc>
        <w:tc>
          <w:tcPr>
            <w:tcW w:w="7654" w:type="dxa"/>
            <w:shd w:val="clear" w:color="auto" w:fill="auto"/>
          </w:tcPr>
          <w:p w:rsidR="006F29EC" w:rsidRPr="001619CB" w:rsidRDefault="006F29EC" w:rsidP="006F29EC">
            <w:pPr>
              <w:suppressAutoHyphens/>
              <w:jc w:val="both"/>
              <w:rPr>
                <w:rFonts w:ascii="Times New Roman" w:hAnsi="Times New Roman" w:cs="Times New Roman"/>
                <w:b/>
                <w:sz w:val="26"/>
                <w:szCs w:val="26"/>
              </w:rPr>
            </w:pPr>
            <w:r w:rsidRPr="001619CB">
              <w:rPr>
                <w:rStyle w:val="defaultdocbaseattributestylewithoutnowrap1"/>
                <w:rFonts w:ascii="Times New Roman" w:hAnsi="Times New Roman" w:cs="Times New Roman"/>
                <w:b/>
                <w:color w:val="333333"/>
                <w:sz w:val="26"/>
                <w:szCs w:val="26"/>
              </w:rPr>
              <w:t>8.</w:t>
            </w:r>
            <w:r>
              <w:rPr>
                <w:rStyle w:val="defaultdocbaseattributestylewithoutnowrap1"/>
                <w:rFonts w:ascii="Times New Roman" w:hAnsi="Times New Roman" w:cs="Times New Roman"/>
                <w:b/>
                <w:color w:val="333333"/>
                <w:sz w:val="26"/>
                <w:szCs w:val="26"/>
              </w:rPr>
              <w:t>7</w:t>
            </w:r>
            <w:r w:rsidRPr="001619CB">
              <w:rPr>
                <w:rStyle w:val="defaultdocbaseattributestylewithoutnowrap1"/>
                <w:rFonts w:ascii="Times New Roman" w:hAnsi="Times New Roman" w:cs="Times New Roman"/>
                <w:b/>
                <w:color w:val="333333"/>
                <w:sz w:val="26"/>
                <w:szCs w:val="26"/>
              </w:rPr>
              <w:t xml:space="preserve">.2. </w:t>
            </w:r>
            <w:r w:rsidRPr="001619CB">
              <w:rPr>
                <w:rFonts w:ascii="Times New Roman" w:hAnsi="Times New Roman" w:cs="Times New Roman"/>
                <w:sz w:val="26"/>
                <w:szCs w:val="26"/>
              </w:rPr>
              <w:t>Документацию о проведении предквалификации.</w:t>
            </w:r>
          </w:p>
          <w:p w:rsidR="006F29EC" w:rsidRPr="00F07E8C" w:rsidRDefault="006F29EC" w:rsidP="006F29EC">
            <w:pPr>
              <w:suppressAutoHyphens/>
              <w:jc w:val="both"/>
              <w:rPr>
                <w:rFonts w:ascii="Times New Roman" w:hAnsi="Times New Roman" w:cs="Times New Roman"/>
                <w:b/>
                <w:sz w:val="26"/>
                <w:szCs w:val="26"/>
              </w:rPr>
            </w:pP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7.</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CE546E">
              <w:rPr>
                <w:rStyle w:val="defaultdocbaseattributestylewithoutnowrap1"/>
                <w:rFonts w:ascii="Times New Roman" w:hAnsi="Times New Roman" w:cs="Times New Roman"/>
                <w:b/>
                <w:color w:val="333333"/>
                <w:sz w:val="26"/>
                <w:szCs w:val="26"/>
              </w:rPr>
              <w:t xml:space="preserve">8.10. </w:t>
            </w:r>
            <w:r w:rsidRPr="00CE546E">
              <w:rPr>
                <w:rStyle w:val="defaultdocbaseattributestylewithoutnowrap1"/>
                <w:rFonts w:ascii="Times New Roman" w:hAnsi="Times New Roman" w:cs="Times New Roman"/>
                <w:color w:val="333333"/>
                <w:sz w:val="26"/>
                <w:szCs w:val="26"/>
              </w:rPr>
              <w:t>В Порядке проведения Открытой предквалификации должны быть указаны следующие обязательные сведения:</w:t>
            </w:r>
          </w:p>
        </w:tc>
        <w:tc>
          <w:tcPr>
            <w:tcW w:w="7654" w:type="dxa"/>
            <w:shd w:val="clear" w:color="auto" w:fill="auto"/>
          </w:tcPr>
          <w:p w:rsidR="006F29EC" w:rsidRPr="00F07E8C"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t xml:space="preserve">8.9. </w:t>
            </w:r>
            <w:r w:rsidRPr="00CE546E">
              <w:rPr>
                <w:rFonts w:ascii="Times New Roman" w:hAnsi="Times New Roman" w:cs="Times New Roman"/>
                <w:sz w:val="26"/>
                <w:szCs w:val="26"/>
              </w:rPr>
              <w:t>В Документации о проведении предквалификации должны быть указаны следующие обязательные сведения:</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8.</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D41E13">
              <w:rPr>
                <w:rStyle w:val="defaultdocbaseattributestylewithoutnowrap1"/>
                <w:rFonts w:ascii="Times New Roman" w:hAnsi="Times New Roman" w:cs="Times New Roman"/>
                <w:b/>
                <w:color w:val="333333"/>
                <w:sz w:val="26"/>
                <w:szCs w:val="26"/>
              </w:rPr>
              <w:t xml:space="preserve">8.10.6. </w:t>
            </w:r>
            <w:r w:rsidRPr="00D41E13">
              <w:rPr>
                <w:rStyle w:val="defaultdocbaseattributestylewithoutnowrap1"/>
                <w:rFonts w:ascii="Times New Roman" w:hAnsi="Times New Roman" w:cs="Times New Roman"/>
                <w:color w:val="333333"/>
                <w:sz w:val="26"/>
                <w:szCs w:val="26"/>
              </w:rPr>
              <w:t>срок, место и порядок предоставления Порядка осуществления предквалификации;</w:t>
            </w:r>
          </w:p>
        </w:tc>
        <w:tc>
          <w:tcPr>
            <w:tcW w:w="7654" w:type="dxa"/>
            <w:shd w:val="clear" w:color="auto" w:fill="auto"/>
          </w:tcPr>
          <w:p w:rsidR="006F29EC" w:rsidRPr="00D41E13" w:rsidRDefault="006F29EC" w:rsidP="006F29EC">
            <w:pPr>
              <w:suppressAutoHyphens/>
              <w:jc w:val="both"/>
              <w:rPr>
                <w:rFonts w:ascii="Times New Roman" w:hAnsi="Times New Roman" w:cs="Times New Roman"/>
                <w:sz w:val="26"/>
                <w:szCs w:val="26"/>
              </w:rPr>
            </w:pPr>
            <w:r w:rsidRPr="00D41E13">
              <w:rPr>
                <w:rFonts w:ascii="Times New Roman" w:hAnsi="Times New Roman" w:cs="Times New Roman"/>
                <w:b/>
                <w:sz w:val="26"/>
                <w:szCs w:val="26"/>
              </w:rPr>
              <w:t>8.9.6.</w:t>
            </w:r>
            <w:r>
              <w:rPr>
                <w:rFonts w:ascii="Times New Roman" w:hAnsi="Times New Roman" w:cs="Times New Roman"/>
                <w:sz w:val="26"/>
                <w:szCs w:val="26"/>
              </w:rPr>
              <w:t xml:space="preserve"> </w:t>
            </w:r>
            <w:r w:rsidRPr="00D41E13">
              <w:rPr>
                <w:rFonts w:ascii="Times New Roman" w:hAnsi="Times New Roman" w:cs="Times New Roman"/>
                <w:sz w:val="26"/>
                <w:szCs w:val="26"/>
              </w:rPr>
              <w:t>срок, место и порядок предоставления Документации о проведении предквалификации;</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9.</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0D36BF">
              <w:rPr>
                <w:rStyle w:val="defaultdocbaseattributestylewithoutnowrap1"/>
                <w:rFonts w:ascii="Times New Roman" w:hAnsi="Times New Roman" w:cs="Times New Roman"/>
                <w:b/>
                <w:color w:val="333333"/>
                <w:sz w:val="26"/>
                <w:szCs w:val="26"/>
              </w:rPr>
              <w:t xml:space="preserve">8.10.12. </w:t>
            </w:r>
            <w:r w:rsidRPr="000D36BF">
              <w:rPr>
                <w:rStyle w:val="defaultdocbaseattributestylewithoutnowrap1"/>
                <w:rFonts w:ascii="Times New Roman" w:hAnsi="Times New Roman" w:cs="Times New Roman"/>
                <w:color w:val="333333"/>
                <w:sz w:val="26"/>
                <w:szCs w:val="26"/>
              </w:rPr>
              <w:t>форма, порядок, срок предоставления Потенциальным участникам разъяснений положений Порядка осуществления предквалификации;</w:t>
            </w:r>
          </w:p>
        </w:tc>
        <w:tc>
          <w:tcPr>
            <w:tcW w:w="7654" w:type="dxa"/>
            <w:shd w:val="clear" w:color="auto" w:fill="auto"/>
          </w:tcPr>
          <w:p w:rsidR="006F29EC" w:rsidRPr="00F07E8C"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t xml:space="preserve">8.9.12. </w:t>
            </w:r>
            <w:r w:rsidRPr="000D36BF">
              <w:rPr>
                <w:rFonts w:ascii="Times New Roman" w:hAnsi="Times New Roman" w:cs="Times New Roman"/>
                <w:sz w:val="26"/>
                <w:szCs w:val="26"/>
              </w:rPr>
              <w:t>форма, порядок, срок предоставления Потенциальным участникам разъяснений положений Документации о проведении предквалификации;</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10.</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4C444D">
              <w:rPr>
                <w:rStyle w:val="defaultdocbaseattributestylewithoutnowrap1"/>
                <w:rFonts w:ascii="Times New Roman" w:hAnsi="Times New Roman" w:cs="Times New Roman"/>
                <w:b/>
                <w:color w:val="333333"/>
                <w:sz w:val="26"/>
                <w:szCs w:val="26"/>
              </w:rPr>
              <w:t xml:space="preserve">8.17. </w:t>
            </w:r>
            <w:r w:rsidRPr="004C444D">
              <w:rPr>
                <w:rStyle w:val="defaultdocbaseattributestylewithoutnowrap1"/>
                <w:rFonts w:ascii="Times New Roman" w:hAnsi="Times New Roman" w:cs="Times New Roman"/>
                <w:color w:val="333333"/>
                <w:sz w:val="26"/>
                <w:szCs w:val="26"/>
              </w:rPr>
              <w:t>Общество в отношении каждой Открытой предквалификации в Порядке осуществления предквалификации устанавливает периодичность вскрытия конвертов с Заявками (открытия доступа к Заявкам) на включение в реестр.</w:t>
            </w:r>
          </w:p>
        </w:tc>
        <w:tc>
          <w:tcPr>
            <w:tcW w:w="7654" w:type="dxa"/>
            <w:shd w:val="clear" w:color="auto" w:fill="auto"/>
          </w:tcPr>
          <w:p w:rsidR="006F29EC" w:rsidRPr="00F07E8C"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t xml:space="preserve">8.16. </w:t>
            </w:r>
            <w:r w:rsidRPr="004C444D">
              <w:rPr>
                <w:rFonts w:ascii="Times New Roman" w:hAnsi="Times New Roman" w:cs="Times New Roman"/>
                <w:sz w:val="26"/>
                <w:szCs w:val="26"/>
              </w:rPr>
              <w:t>Общество в отношении каждой Открытой предквалификации в Документации о ее проведении устанавливает периодичность вскрытия конвертов с Заявками (открытия доступа к Заявкам) на включение в реестр.</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11.</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4C444D">
              <w:rPr>
                <w:rStyle w:val="defaultdocbaseattributestylewithoutnowrap1"/>
                <w:rFonts w:ascii="Times New Roman" w:hAnsi="Times New Roman" w:cs="Times New Roman"/>
                <w:b/>
                <w:color w:val="333333"/>
                <w:sz w:val="26"/>
                <w:szCs w:val="26"/>
              </w:rPr>
              <w:t xml:space="preserve">8.18. </w:t>
            </w:r>
            <w:r w:rsidRPr="004C444D">
              <w:rPr>
                <w:rStyle w:val="defaultdocbaseattributestylewithoutnowrap1"/>
                <w:rFonts w:ascii="Times New Roman" w:hAnsi="Times New Roman" w:cs="Times New Roman"/>
                <w:color w:val="333333"/>
                <w:sz w:val="26"/>
                <w:szCs w:val="26"/>
              </w:rPr>
              <w:t>Конверты с Заявками на включение в реестр, полученные Обществом в период, установленный в Порядке осуществления предквалификации, вскрываются Закупочной комиссией, либо осуществляется открытие доступа к Заявкам на включение в реестр, в дату вскрытия конвертов с Заявками на включение в реестр, установленную Порядком осуществления предквалификации, которая должна быть не позднее 5 (пяти) дней со дня, следующего за днём окончания указанного периода.</w:t>
            </w:r>
          </w:p>
        </w:tc>
        <w:tc>
          <w:tcPr>
            <w:tcW w:w="7654" w:type="dxa"/>
            <w:shd w:val="clear" w:color="auto" w:fill="auto"/>
          </w:tcPr>
          <w:p w:rsidR="006F29EC" w:rsidRPr="00F07E8C" w:rsidRDefault="006F29EC" w:rsidP="006F29EC">
            <w:pPr>
              <w:suppressAutoHyphens/>
              <w:jc w:val="both"/>
              <w:rPr>
                <w:rFonts w:ascii="Times New Roman" w:hAnsi="Times New Roman" w:cs="Times New Roman"/>
                <w:b/>
                <w:sz w:val="26"/>
                <w:szCs w:val="26"/>
              </w:rPr>
            </w:pPr>
            <w:bookmarkStart w:id="0" w:name="_Ref340065826"/>
            <w:r>
              <w:rPr>
                <w:rFonts w:ascii="Times New Roman" w:hAnsi="Times New Roman" w:cs="Times New Roman"/>
                <w:b/>
                <w:sz w:val="26"/>
                <w:szCs w:val="26"/>
              </w:rPr>
              <w:t xml:space="preserve">8.17. </w:t>
            </w:r>
            <w:r w:rsidRPr="004C444D">
              <w:rPr>
                <w:rFonts w:ascii="Times New Roman" w:hAnsi="Times New Roman" w:cs="Times New Roman"/>
                <w:sz w:val="26"/>
                <w:szCs w:val="26"/>
              </w:rPr>
              <w:t>Конверты с Заявками на включение в реестр, полученные Обществом в период, установленный в Документации о проведении предквалификации, вскрываются Закупочной комиссией, либо осуществляется открытие доступа к Заявкам на включение в реестр, в дату вскрытия конвертов с Заявками на включение в реестр, установленную Документацией о проведении предквалификации, которая должна быть не позднее 5 (пяти) дней со дня, следующего за днём окончания указанного периода.</w:t>
            </w:r>
            <w:bookmarkEnd w:id="0"/>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12.</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4C444D">
              <w:rPr>
                <w:rStyle w:val="defaultdocbaseattributestylewithoutnowrap1"/>
                <w:rFonts w:ascii="Times New Roman" w:hAnsi="Times New Roman" w:cs="Times New Roman"/>
                <w:b/>
                <w:color w:val="333333"/>
                <w:sz w:val="26"/>
                <w:szCs w:val="26"/>
              </w:rPr>
              <w:t xml:space="preserve">8.21. </w:t>
            </w:r>
            <w:r w:rsidRPr="004C444D">
              <w:rPr>
                <w:rStyle w:val="defaultdocbaseattributestylewithoutnowrap1"/>
                <w:rFonts w:ascii="Times New Roman" w:hAnsi="Times New Roman" w:cs="Times New Roman"/>
                <w:color w:val="333333"/>
                <w:sz w:val="26"/>
                <w:szCs w:val="26"/>
              </w:rPr>
              <w:t xml:space="preserve">Заявки на включение в реестр, которые согласно протоколу вскрытия конвертов с Заявками (открытия доступа к Заявкам) приняты к рассмотрению, рассматриваются Закупочной комиссией в дату рассмотрения Заявок на включение в реестр, установленную Порядком осуществления предквалификации, которая должна быть не позднее 10 (десяти) дней со дня, следующего за днём </w:t>
            </w:r>
            <w:r w:rsidRPr="004C444D">
              <w:rPr>
                <w:rStyle w:val="defaultdocbaseattributestylewithoutnowrap1"/>
                <w:rFonts w:ascii="Times New Roman" w:hAnsi="Times New Roman" w:cs="Times New Roman"/>
                <w:color w:val="333333"/>
                <w:sz w:val="26"/>
                <w:szCs w:val="26"/>
              </w:rPr>
              <w:lastRenderedPageBreak/>
              <w:t>окончания вскрытия конвертов с Заявками (открытия доступа к Заявками) на включение в реестр.</w:t>
            </w:r>
          </w:p>
        </w:tc>
        <w:tc>
          <w:tcPr>
            <w:tcW w:w="7654" w:type="dxa"/>
            <w:shd w:val="clear" w:color="auto" w:fill="auto"/>
          </w:tcPr>
          <w:p w:rsidR="006F29EC" w:rsidRPr="004C444D"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8.20. </w:t>
            </w:r>
            <w:r w:rsidRPr="004C444D">
              <w:rPr>
                <w:rFonts w:ascii="Times New Roman" w:hAnsi="Times New Roman" w:cs="Times New Roman"/>
                <w:sz w:val="26"/>
                <w:szCs w:val="26"/>
              </w:rPr>
              <w:t>Заявки на включение в реестр, которые согласно протоколу вскрытия конвертов с Заявками (открытия доступа к Заявкам) приняты к рассмотрению, рассматриваются Закупочной комиссией в дату рассмотрени</w:t>
            </w:r>
            <w:r>
              <w:rPr>
                <w:rFonts w:ascii="Times New Roman" w:hAnsi="Times New Roman" w:cs="Times New Roman"/>
                <w:sz w:val="26"/>
                <w:szCs w:val="26"/>
              </w:rPr>
              <w:t>я Заявок на включение в реестр</w:t>
            </w:r>
            <w:r w:rsidRPr="004C444D">
              <w:rPr>
                <w:rFonts w:ascii="Times New Roman" w:hAnsi="Times New Roman" w:cs="Times New Roman"/>
                <w:sz w:val="26"/>
                <w:szCs w:val="26"/>
              </w:rPr>
              <w:t xml:space="preserve">, </w:t>
            </w:r>
            <w:r w:rsidRPr="004C444D">
              <w:rPr>
                <w:rStyle w:val="defaultdocbaseattributestylewithoutnowrap1"/>
                <w:rFonts w:ascii="Times New Roman" w:hAnsi="Times New Roman" w:cs="Times New Roman"/>
                <w:color w:val="333333"/>
                <w:sz w:val="26"/>
                <w:szCs w:val="26"/>
              </w:rPr>
              <w:t xml:space="preserve">которая </w:t>
            </w:r>
            <w:r>
              <w:rPr>
                <w:rStyle w:val="defaultdocbaseattributestylewithoutnowrap1"/>
                <w:rFonts w:ascii="Times New Roman" w:hAnsi="Times New Roman" w:cs="Times New Roman"/>
                <w:color w:val="333333"/>
                <w:sz w:val="26"/>
                <w:szCs w:val="26"/>
              </w:rPr>
              <w:t>назначается</w:t>
            </w:r>
            <w:r w:rsidRPr="004C444D">
              <w:rPr>
                <w:rStyle w:val="defaultdocbaseattributestylewithoutnowrap1"/>
                <w:rFonts w:ascii="Times New Roman" w:hAnsi="Times New Roman" w:cs="Times New Roman"/>
                <w:color w:val="333333"/>
                <w:sz w:val="26"/>
                <w:szCs w:val="26"/>
              </w:rPr>
              <w:t xml:space="preserve"> не позднее </w:t>
            </w:r>
            <w:r>
              <w:rPr>
                <w:rStyle w:val="defaultdocbaseattributestylewithoutnowrap1"/>
                <w:rFonts w:ascii="Times New Roman" w:hAnsi="Times New Roman" w:cs="Times New Roman"/>
                <w:color w:val="333333"/>
                <w:sz w:val="26"/>
                <w:szCs w:val="26"/>
              </w:rPr>
              <w:t xml:space="preserve">установленного в </w:t>
            </w:r>
            <w:r w:rsidRPr="004C444D">
              <w:rPr>
                <w:rFonts w:ascii="Times New Roman" w:hAnsi="Times New Roman" w:cs="Times New Roman"/>
                <w:sz w:val="26"/>
                <w:szCs w:val="26"/>
              </w:rPr>
              <w:t>Документации о проведении предквалификации</w:t>
            </w:r>
            <w:r>
              <w:rPr>
                <w:rFonts w:ascii="Times New Roman" w:hAnsi="Times New Roman" w:cs="Times New Roman"/>
                <w:sz w:val="26"/>
                <w:szCs w:val="26"/>
              </w:rPr>
              <w:t xml:space="preserve"> количества</w:t>
            </w:r>
            <w:r w:rsidRPr="004C444D">
              <w:rPr>
                <w:rStyle w:val="defaultdocbaseattributestylewithoutnowrap1"/>
                <w:rFonts w:ascii="Times New Roman" w:hAnsi="Times New Roman" w:cs="Times New Roman"/>
                <w:color w:val="333333"/>
                <w:sz w:val="26"/>
                <w:szCs w:val="26"/>
              </w:rPr>
              <w:t xml:space="preserve"> дней со дня</w:t>
            </w:r>
            <w:r w:rsidRPr="004C444D">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следующего </w:t>
            </w:r>
            <w:r w:rsidRPr="004C444D">
              <w:rPr>
                <w:rFonts w:ascii="Times New Roman" w:hAnsi="Times New Roman" w:cs="Times New Roman"/>
                <w:sz w:val="26"/>
                <w:szCs w:val="26"/>
              </w:rPr>
              <w:t>днём окончания вскрытия конвертов с Заявками (открытия доступа к Заявками) на включение в реестр..</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lastRenderedPageBreak/>
              <w:t>13.</w:t>
            </w:r>
          </w:p>
        </w:tc>
        <w:tc>
          <w:tcPr>
            <w:tcW w:w="7088" w:type="dxa"/>
            <w:shd w:val="clear" w:color="auto" w:fill="auto"/>
          </w:tcPr>
          <w:p w:rsidR="006F29EC" w:rsidRPr="00F07E8C"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4C444D">
              <w:rPr>
                <w:rStyle w:val="defaultdocbaseattributestylewithoutnowrap1"/>
                <w:rFonts w:ascii="Times New Roman" w:hAnsi="Times New Roman" w:cs="Times New Roman"/>
                <w:b/>
                <w:color w:val="333333"/>
                <w:sz w:val="26"/>
                <w:szCs w:val="26"/>
              </w:rPr>
              <w:t xml:space="preserve">8.28. </w:t>
            </w:r>
            <w:r w:rsidRPr="004C444D">
              <w:rPr>
                <w:rStyle w:val="defaultdocbaseattributestylewithoutnowrap1"/>
                <w:rFonts w:ascii="Times New Roman" w:hAnsi="Times New Roman" w:cs="Times New Roman"/>
                <w:color w:val="333333"/>
                <w:sz w:val="26"/>
                <w:szCs w:val="26"/>
              </w:rPr>
              <w:t>Потенциальные участники в порядке и сроки, установленные Порядком осуществления предквалификации, обязаны поддерживать достоверность и актуальность сведений, содержащихся в предоставленной Заявке на включение в реестр.</w:t>
            </w:r>
          </w:p>
        </w:tc>
        <w:tc>
          <w:tcPr>
            <w:tcW w:w="7654" w:type="dxa"/>
            <w:shd w:val="clear" w:color="auto" w:fill="auto"/>
          </w:tcPr>
          <w:p w:rsidR="006F29EC" w:rsidRPr="004C444D"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t xml:space="preserve">8.27. </w:t>
            </w:r>
            <w:r w:rsidRPr="004C444D">
              <w:rPr>
                <w:rFonts w:ascii="Times New Roman" w:hAnsi="Times New Roman" w:cs="Times New Roman"/>
                <w:sz w:val="26"/>
                <w:szCs w:val="26"/>
              </w:rPr>
              <w:t>Потенциальные участники в порядке и сроки, установленные Документацией о проведении предквалификации, обязаны поддерживать достоверность и актуальность сведений, содержащихся в предоставленной Заявке на включение в реестр.</w:t>
            </w:r>
          </w:p>
          <w:p w:rsidR="006F29EC" w:rsidRPr="00F07E8C" w:rsidRDefault="006F29EC" w:rsidP="006F29EC">
            <w:pPr>
              <w:suppressAutoHyphens/>
              <w:jc w:val="both"/>
              <w:rPr>
                <w:rFonts w:ascii="Times New Roman" w:hAnsi="Times New Roman" w:cs="Times New Roman"/>
                <w:b/>
                <w:sz w:val="26"/>
                <w:szCs w:val="26"/>
              </w:rPr>
            </w:pP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14.</w:t>
            </w:r>
          </w:p>
        </w:tc>
        <w:tc>
          <w:tcPr>
            <w:tcW w:w="7088" w:type="dxa"/>
            <w:shd w:val="clear" w:color="auto" w:fill="auto"/>
          </w:tcPr>
          <w:p w:rsidR="006F29EC" w:rsidRPr="004C444D" w:rsidRDefault="006F29EC" w:rsidP="006F29EC">
            <w:pPr>
              <w:pStyle w:val="a3"/>
              <w:ind w:left="0"/>
              <w:jc w:val="both"/>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15. Переторжка</w:t>
            </w:r>
          </w:p>
        </w:tc>
        <w:tc>
          <w:tcPr>
            <w:tcW w:w="7654" w:type="dxa"/>
            <w:shd w:val="clear" w:color="auto" w:fill="auto"/>
          </w:tcPr>
          <w:p w:rsidR="006F29EC" w:rsidRDefault="006F29EC" w:rsidP="006F29EC">
            <w:pPr>
              <w:suppressAutoHyphens/>
              <w:jc w:val="both"/>
              <w:rPr>
                <w:rFonts w:ascii="Times New Roman" w:hAnsi="Times New Roman" w:cs="Times New Roman"/>
                <w:b/>
                <w:sz w:val="26"/>
                <w:szCs w:val="26"/>
              </w:rPr>
            </w:pPr>
            <w:r>
              <w:rPr>
                <w:rStyle w:val="defaultdocbaseattributestylewithoutnowrap1"/>
                <w:rFonts w:ascii="Times New Roman" w:hAnsi="Times New Roman" w:cs="Times New Roman"/>
                <w:b/>
                <w:color w:val="333333"/>
                <w:sz w:val="26"/>
                <w:szCs w:val="26"/>
              </w:rPr>
              <w:t>15. Переторжка (Подача дополнительных ценовых предложений)</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15.</w:t>
            </w:r>
          </w:p>
        </w:tc>
        <w:tc>
          <w:tcPr>
            <w:tcW w:w="7088" w:type="dxa"/>
            <w:shd w:val="clear" w:color="auto" w:fill="auto"/>
          </w:tcPr>
          <w:p w:rsidR="006F29EC" w:rsidRPr="004C444D"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3E79DD">
              <w:rPr>
                <w:rStyle w:val="defaultdocbaseattributestylewithoutnowrap1"/>
                <w:rFonts w:ascii="Times New Roman" w:hAnsi="Times New Roman" w:cs="Times New Roman"/>
                <w:b/>
                <w:color w:val="333333"/>
                <w:sz w:val="26"/>
                <w:szCs w:val="26"/>
              </w:rPr>
              <w:t xml:space="preserve">15.1. </w:t>
            </w:r>
            <w:r>
              <w:rPr>
                <w:rStyle w:val="defaultdocbaseattributestylewithoutnowrap1"/>
                <w:rFonts w:ascii="Times New Roman" w:hAnsi="Times New Roman" w:cs="Times New Roman"/>
                <w:color w:val="333333"/>
                <w:sz w:val="26"/>
                <w:szCs w:val="26"/>
              </w:rPr>
              <w:t>Переторжка</w:t>
            </w:r>
            <w:r w:rsidRPr="003E79DD">
              <w:rPr>
                <w:rStyle w:val="defaultdocbaseattributestylewithoutnowrap1"/>
                <w:rFonts w:ascii="Times New Roman" w:hAnsi="Times New Roman" w:cs="Times New Roman"/>
                <w:color w:val="333333"/>
                <w:sz w:val="26"/>
                <w:szCs w:val="26"/>
              </w:rPr>
              <w:t xml:space="preserve"> - добровольное улучшение Участниками первоначальных сведений Заявок, направленное на улучшение результатов основного этапа Закупки (оценки и сопоставления Заявок).</w:t>
            </w:r>
          </w:p>
        </w:tc>
        <w:tc>
          <w:tcPr>
            <w:tcW w:w="7654" w:type="dxa"/>
            <w:shd w:val="clear" w:color="auto" w:fill="auto"/>
          </w:tcPr>
          <w:p w:rsidR="006F29EC" w:rsidRDefault="006F29EC" w:rsidP="006F29EC">
            <w:pPr>
              <w:suppressAutoHyphens/>
              <w:jc w:val="both"/>
              <w:rPr>
                <w:rFonts w:ascii="Times New Roman" w:hAnsi="Times New Roman" w:cs="Times New Roman"/>
                <w:b/>
                <w:sz w:val="26"/>
                <w:szCs w:val="26"/>
              </w:rPr>
            </w:pPr>
            <w:r w:rsidRPr="003E79DD">
              <w:rPr>
                <w:rStyle w:val="defaultdocbaseattributestylewithoutnowrap1"/>
                <w:rFonts w:ascii="Times New Roman" w:hAnsi="Times New Roman" w:cs="Times New Roman"/>
                <w:b/>
                <w:color w:val="333333"/>
                <w:sz w:val="26"/>
                <w:szCs w:val="26"/>
              </w:rPr>
              <w:t xml:space="preserve">15.1. </w:t>
            </w:r>
            <w:r w:rsidRPr="003E79DD">
              <w:rPr>
                <w:rStyle w:val="defaultdocbaseattributestylewithoutnowrap1"/>
                <w:rFonts w:ascii="Times New Roman" w:hAnsi="Times New Roman" w:cs="Times New Roman"/>
                <w:color w:val="333333"/>
                <w:sz w:val="26"/>
                <w:szCs w:val="26"/>
              </w:rPr>
              <w:t>Переторжка (Подача дополнительных ценовых предложений) - добровольное улучшение Участниками первоначальных сведений Заявок, направленное на улучшение результатов основного этапа Закупки (оценки и сопоставления Заявок).</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16.</w:t>
            </w:r>
          </w:p>
        </w:tc>
        <w:tc>
          <w:tcPr>
            <w:tcW w:w="7088" w:type="dxa"/>
            <w:shd w:val="clear" w:color="auto" w:fill="auto"/>
          </w:tcPr>
          <w:p w:rsidR="006F29EC" w:rsidRPr="004C444D" w:rsidRDefault="006F29EC" w:rsidP="006F29EC">
            <w:pPr>
              <w:pStyle w:val="a3"/>
              <w:ind w:left="0"/>
              <w:jc w:val="both"/>
              <w:rPr>
                <w:rStyle w:val="defaultdocbaseattributestylewithoutnowrap1"/>
                <w:rFonts w:ascii="Times New Roman" w:hAnsi="Times New Roman" w:cs="Times New Roman"/>
                <w:b/>
                <w:color w:val="333333"/>
                <w:sz w:val="26"/>
                <w:szCs w:val="26"/>
              </w:rPr>
            </w:pPr>
            <w:r w:rsidRPr="003E79DD">
              <w:rPr>
                <w:rStyle w:val="defaultdocbaseattributestylewithoutnowrap1"/>
                <w:rFonts w:ascii="Times New Roman" w:hAnsi="Times New Roman" w:cs="Times New Roman"/>
                <w:b/>
                <w:color w:val="333333"/>
                <w:sz w:val="26"/>
                <w:szCs w:val="26"/>
              </w:rPr>
              <w:t xml:space="preserve">15.5. </w:t>
            </w:r>
            <w:r w:rsidRPr="003E79DD">
              <w:rPr>
                <w:rStyle w:val="defaultdocbaseattributestylewithoutnowrap1"/>
                <w:rFonts w:ascii="Times New Roman" w:hAnsi="Times New Roman" w:cs="Times New Roman"/>
                <w:color w:val="333333"/>
                <w:sz w:val="26"/>
                <w:szCs w:val="26"/>
              </w:rPr>
              <w:t xml:space="preserve">Закупочная комиссия осуществляет переторжку в порядке, установленном настоящим Положением. При проведении закупки в электронной форме переторжка может проводиться в режиме реального времени, при проведении закупки не в электронной форме переторжка проводится только в заочной форме. В случае если в протоколе основного этапа закупки (оценки и сопоставления Заявок) указано о проведении переторжки, то в этом же протоколе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и, при необходимости, критерии оценки и сопоставления заявок, в отношении которых будет проводиться переторжка, с учетом п. 15.4 и 15.6 настоящего Положения.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 а в случае </w:t>
            </w:r>
            <w:r w:rsidRPr="003E79DD">
              <w:rPr>
                <w:rStyle w:val="defaultdocbaseattributestylewithoutnowrap1"/>
                <w:rFonts w:ascii="Times New Roman" w:hAnsi="Times New Roman" w:cs="Times New Roman"/>
                <w:color w:val="333333"/>
                <w:sz w:val="26"/>
                <w:szCs w:val="26"/>
              </w:rPr>
              <w:lastRenderedPageBreak/>
              <w:t>проведения переторжки в режиме реального времени в соответствии с п.15.6, срок предоставления улучшенных сведений Заявок определяется временем приема предложений Участников.</w:t>
            </w:r>
          </w:p>
        </w:tc>
        <w:tc>
          <w:tcPr>
            <w:tcW w:w="7654" w:type="dxa"/>
            <w:shd w:val="clear" w:color="auto" w:fill="auto"/>
          </w:tcPr>
          <w:p w:rsidR="006F29EC" w:rsidRPr="003E79DD"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15.5. </w:t>
            </w:r>
            <w:r w:rsidRPr="003E79DD">
              <w:rPr>
                <w:rFonts w:ascii="Times New Roman" w:hAnsi="Times New Roman" w:cs="Times New Roman"/>
                <w:sz w:val="26"/>
                <w:szCs w:val="26"/>
              </w:rPr>
              <w:t>Закупочная комиссия осуществляет переторжку в порядке и сроки, установленные Извещением и/или Документацией о закупке, а также в протоколе основного этапа закупки, с учетом требований настоящего Положения.</w:t>
            </w:r>
            <w:r w:rsidRPr="003E79DD">
              <w:rPr>
                <w:rFonts w:ascii="Times New Roman" w:hAnsi="Times New Roman" w:cs="Times New Roman"/>
                <w:b/>
                <w:sz w:val="26"/>
                <w:szCs w:val="26"/>
              </w:rPr>
              <w:t xml:space="preserve"> </w:t>
            </w:r>
          </w:p>
          <w:p w:rsidR="006F29EC" w:rsidRDefault="006F29EC" w:rsidP="006F29EC">
            <w:pPr>
              <w:suppressAutoHyphens/>
              <w:jc w:val="both"/>
              <w:rPr>
                <w:rFonts w:ascii="Times New Roman" w:hAnsi="Times New Roman" w:cs="Times New Roman"/>
                <w:b/>
                <w:sz w:val="26"/>
                <w:szCs w:val="26"/>
              </w:rPr>
            </w:pP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17.</w:t>
            </w:r>
          </w:p>
        </w:tc>
        <w:tc>
          <w:tcPr>
            <w:tcW w:w="7088" w:type="dxa"/>
            <w:shd w:val="clear" w:color="auto" w:fill="auto"/>
          </w:tcPr>
          <w:p w:rsidR="006F29EC" w:rsidRPr="003E79DD" w:rsidRDefault="006F29EC" w:rsidP="006F29EC">
            <w:pPr>
              <w:contextualSpacing/>
              <w:jc w:val="both"/>
              <w:rPr>
                <w:rFonts w:ascii="Times New Roman" w:eastAsia="Times New Roman" w:hAnsi="Times New Roman" w:cs="Times New Roman"/>
                <w:sz w:val="26"/>
                <w:szCs w:val="26"/>
              </w:rPr>
            </w:pPr>
            <w:bookmarkStart w:id="1" w:name="_Ref455742089"/>
            <w:r w:rsidRPr="003E79DD">
              <w:rPr>
                <w:rFonts w:ascii="Times New Roman" w:eastAsia="Times New Roman" w:hAnsi="Times New Roman" w:cs="Times New Roman"/>
                <w:b/>
                <w:sz w:val="26"/>
                <w:szCs w:val="26"/>
              </w:rPr>
              <w:t>15.6.</w:t>
            </w:r>
            <w:r>
              <w:rPr>
                <w:rFonts w:ascii="Times New Roman" w:eastAsia="Times New Roman" w:hAnsi="Times New Roman" w:cs="Times New Roman"/>
                <w:sz w:val="26"/>
                <w:szCs w:val="26"/>
              </w:rPr>
              <w:t xml:space="preserve"> </w:t>
            </w:r>
            <w:r w:rsidRPr="003E79DD">
              <w:rPr>
                <w:rFonts w:ascii="Times New Roman" w:eastAsia="Times New Roman" w:hAnsi="Times New Roman" w:cs="Times New Roman"/>
                <w:sz w:val="26"/>
                <w:szCs w:val="26"/>
              </w:rPr>
              <w:t>Закупочная комиссия вправе принять решение о проведении переторжки</w:t>
            </w:r>
            <w:r w:rsidRPr="003E79DD" w:rsidDel="009819FC">
              <w:rPr>
                <w:rFonts w:ascii="Times New Roman" w:eastAsia="Times New Roman" w:hAnsi="Times New Roman" w:cs="Times New Roman"/>
                <w:sz w:val="26"/>
                <w:szCs w:val="26"/>
              </w:rPr>
              <w:t xml:space="preserve"> </w:t>
            </w:r>
            <w:r w:rsidRPr="003E79DD">
              <w:rPr>
                <w:rFonts w:ascii="Times New Roman" w:eastAsia="Times New Roman" w:hAnsi="Times New Roman" w:cs="Times New Roman"/>
                <w:sz w:val="26"/>
                <w:szCs w:val="26"/>
              </w:rPr>
              <w:t xml:space="preserve">на Электронной торговой площадке в режиме реального времени, о чем должно быть указано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Электронной торговой площадки только по ценовому критерию. </w:t>
            </w:r>
            <w:bookmarkEnd w:id="1"/>
          </w:p>
          <w:p w:rsidR="006F29EC" w:rsidRPr="003E79DD" w:rsidRDefault="006F29EC" w:rsidP="006F29EC">
            <w:pPr>
              <w:suppressAutoHyphens/>
              <w:ind w:firstLine="567"/>
              <w:jc w:val="both"/>
              <w:rPr>
                <w:rFonts w:ascii="Times New Roman" w:eastAsia="Times New Roman" w:hAnsi="Times New Roman" w:cs="Times New Roman"/>
                <w:sz w:val="26"/>
                <w:szCs w:val="26"/>
              </w:rPr>
            </w:pPr>
            <w:r w:rsidRPr="003E79DD">
              <w:rPr>
                <w:rFonts w:ascii="Times New Roman" w:eastAsia="Times New Roman" w:hAnsi="Times New Roman" w:cs="Times New Roman"/>
                <w:sz w:val="26"/>
                <w:szCs w:val="26"/>
              </w:rPr>
              <w:t>Порядок проведения переторжки на Электронной торговой площадке в режиме реального времени устанавливается в Извещении о проведении запроса котировок, Документации о закупке, а также в протоколе основного этапа закупки, с учетом требований настоящего Положения.</w:t>
            </w:r>
          </w:p>
          <w:p w:rsidR="006F29EC" w:rsidRPr="003E79DD" w:rsidRDefault="006F29EC" w:rsidP="006F29EC">
            <w:pPr>
              <w:pStyle w:val="a3"/>
              <w:ind w:left="0"/>
              <w:jc w:val="both"/>
              <w:rPr>
                <w:rStyle w:val="defaultdocbaseattributestylewithoutnowrap1"/>
                <w:rFonts w:ascii="Times New Roman" w:hAnsi="Times New Roman" w:cs="Times New Roman"/>
                <w:b/>
                <w:color w:val="333333"/>
                <w:sz w:val="26"/>
                <w:szCs w:val="26"/>
              </w:rPr>
            </w:pPr>
          </w:p>
        </w:tc>
        <w:tc>
          <w:tcPr>
            <w:tcW w:w="7654" w:type="dxa"/>
            <w:shd w:val="clear" w:color="auto" w:fill="auto"/>
          </w:tcPr>
          <w:p w:rsidR="006F29EC" w:rsidRDefault="006F29EC" w:rsidP="006F29EC">
            <w:pPr>
              <w:suppressAutoHyphens/>
              <w:jc w:val="both"/>
              <w:rPr>
                <w:rFonts w:ascii="Times New Roman" w:hAnsi="Times New Roman" w:cs="Times New Roman"/>
                <w:b/>
                <w:sz w:val="26"/>
                <w:szCs w:val="26"/>
              </w:rPr>
            </w:pPr>
            <w:r>
              <w:rPr>
                <w:rFonts w:ascii="Times New Roman" w:hAnsi="Times New Roman" w:cs="Times New Roman"/>
                <w:b/>
                <w:sz w:val="26"/>
                <w:szCs w:val="26"/>
              </w:rPr>
              <w:t>Пункт удален</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18.</w:t>
            </w:r>
          </w:p>
        </w:tc>
        <w:tc>
          <w:tcPr>
            <w:tcW w:w="7088" w:type="dxa"/>
            <w:shd w:val="clear" w:color="auto" w:fill="auto"/>
          </w:tcPr>
          <w:p w:rsidR="006F29EC" w:rsidRPr="00490AB4" w:rsidRDefault="006F29EC" w:rsidP="006F29EC">
            <w:pPr>
              <w:suppressAutoHyphens/>
              <w:jc w:val="both"/>
              <w:rPr>
                <w:rFonts w:ascii="Times New Roman" w:hAnsi="Times New Roman" w:cs="Times New Roman"/>
                <w:sz w:val="26"/>
                <w:szCs w:val="26"/>
              </w:rPr>
            </w:pPr>
            <w:r w:rsidRPr="00490AB4">
              <w:rPr>
                <w:rFonts w:ascii="Times New Roman" w:hAnsi="Times New Roman" w:cs="Times New Roman"/>
                <w:b/>
                <w:sz w:val="26"/>
                <w:szCs w:val="26"/>
              </w:rPr>
              <w:t>24.4.</w:t>
            </w:r>
            <w:r w:rsidRPr="00490AB4">
              <w:rPr>
                <w:rFonts w:ascii="Times New Roman" w:hAnsi="Times New Roman" w:cs="Times New Roman"/>
                <w:sz w:val="26"/>
                <w:szCs w:val="26"/>
              </w:rPr>
              <w:t xml:space="preserve"> 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максимальное количество Участников, которые могут быть признаны победителями Открытого запроса предложений.</w:t>
            </w:r>
          </w:p>
        </w:tc>
        <w:tc>
          <w:tcPr>
            <w:tcW w:w="7654" w:type="dxa"/>
            <w:shd w:val="clear" w:color="auto" w:fill="auto"/>
          </w:tcPr>
          <w:p w:rsidR="006F29EC" w:rsidRPr="00B23764" w:rsidRDefault="006F29EC" w:rsidP="006F29EC">
            <w:pPr>
              <w:suppressAutoHyphens/>
              <w:jc w:val="both"/>
              <w:rPr>
                <w:rFonts w:ascii="Times New Roman" w:hAnsi="Times New Roman" w:cs="Times New Roman"/>
                <w:b/>
                <w:sz w:val="26"/>
                <w:szCs w:val="26"/>
              </w:rPr>
            </w:pPr>
            <w:r w:rsidRPr="00490AB4">
              <w:rPr>
                <w:rFonts w:ascii="Times New Roman" w:hAnsi="Times New Roman" w:cs="Times New Roman"/>
                <w:b/>
                <w:sz w:val="26"/>
                <w:szCs w:val="26"/>
              </w:rPr>
              <w:t>24.4.</w:t>
            </w:r>
            <w:r w:rsidRPr="00490AB4">
              <w:rPr>
                <w:rFonts w:ascii="Times New Roman" w:hAnsi="Times New Roman" w:cs="Times New Roman"/>
                <w:sz w:val="26"/>
                <w:szCs w:val="26"/>
              </w:rPr>
              <w:t xml:space="preserve"> 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предложений.</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19.</w:t>
            </w:r>
          </w:p>
        </w:tc>
        <w:tc>
          <w:tcPr>
            <w:tcW w:w="7088" w:type="dxa"/>
            <w:shd w:val="clear" w:color="auto" w:fill="auto"/>
          </w:tcPr>
          <w:p w:rsidR="006F29EC" w:rsidRPr="00B23764" w:rsidRDefault="006F29EC" w:rsidP="006F29EC">
            <w:pPr>
              <w:suppressAutoHyphens/>
              <w:jc w:val="both"/>
              <w:rPr>
                <w:rFonts w:ascii="Times New Roman" w:hAnsi="Times New Roman" w:cs="Times New Roman"/>
                <w:sz w:val="26"/>
                <w:szCs w:val="26"/>
              </w:rPr>
            </w:pPr>
            <w:r w:rsidRPr="00B23764">
              <w:rPr>
                <w:rFonts w:ascii="Times New Roman" w:hAnsi="Times New Roman" w:cs="Times New Roman"/>
                <w:b/>
                <w:sz w:val="26"/>
                <w:szCs w:val="26"/>
              </w:rPr>
              <w:t>22.4.</w:t>
            </w:r>
            <w:r w:rsidRPr="00B23764">
              <w:rPr>
                <w:rFonts w:ascii="Times New Roman" w:hAnsi="Times New Roman" w:cs="Times New Roman"/>
                <w:sz w:val="26"/>
                <w:szCs w:val="26"/>
              </w:rPr>
              <w:t xml:space="preserve"> Победителем Открытого аукциона может быть признан только один Участник.</w:t>
            </w:r>
          </w:p>
        </w:tc>
        <w:tc>
          <w:tcPr>
            <w:tcW w:w="7654" w:type="dxa"/>
            <w:shd w:val="clear" w:color="auto" w:fill="auto"/>
          </w:tcPr>
          <w:p w:rsidR="006F29EC" w:rsidRPr="00B23764" w:rsidRDefault="006F29EC" w:rsidP="006F29EC">
            <w:pPr>
              <w:suppressAutoHyphens/>
              <w:jc w:val="both"/>
              <w:rPr>
                <w:rFonts w:ascii="Times New Roman" w:hAnsi="Times New Roman" w:cs="Times New Roman"/>
                <w:sz w:val="26"/>
                <w:szCs w:val="26"/>
              </w:rPr>
            </w:pPr>
            <w:r w:rsidRPr="00B23764">
              <w:rPr>
                <w:rFonts w:ascii="Times New Roman" w:hAnsi="Times New Roman" w:cs="Times New Roman"/>
                <w:b/>
                <w:sz w:val="26"/>
                <w:szCs w:val="26"/>
              </w:rPr>
              <w:t>22.4.</w:t>
            </w:r>
            <w:r w:rsidRPr="00B23764">
              <w:rPr>
                <w:rFonts w:ascii="Times New Roman" w:hAnsi="Times New Roman" w:cs="Times New Roman"/>
                <w:sz w:val="26"/>
                <w:szCs w:val="26"/>
              </w:rPr>
              <w:t xml:space="preserve"> Победителями Открытого аукциона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аукциона.</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lastRenderedPageBreak/>
              <w:t>20.</w:t>
            </w:r>
          </w:p>
        </w:tc>
        <w:tc>
          <w:tcPr>
            <w:tcW w:w="7088" w:type="dxa"/>
            <w:shd w:val="clear" w:color="auto" w:fill="auto"/>
          </w:tcPr>
          <w:p w:rsidR="006F29EC" w:rsidRPr="00490AB4" w:rsidRDefault="006F29EC" w:rsidP="006F29EC">
            <w:pPr>
              <w:suppressAutoHyphens/>
              <w:jc w:val="both"/>
              <w:rPr>
                <w:rStyle w:val="defaultdocbaseattributestylewithoutnowrap1"/>
                <w:rFonts w:ascii="Times New Roman" w:hAnsi="Times New Roman" w:cs="Times New Roman"/>
                <w:sz w:val="26"/>
                <w:szCs w:val="26"/>
              </w:rPr>
            </w:pPr>
            <w:r w:rsidRPr="00490AB4">
              <w:rPr>
                <w:rFonts w:ascii="Times New Roman" w:hAnsi="Times New Roman" w:cs="Times New Roman"/>
                <w:b/>
                <w:sz w:val="26"/>
                <w:szCs w:val="26"/>
              </w:rPr>
              <w:t>26.6.</w:t>
            </w:r>
            <w:r w:rsidRPr="00490AB4">
              <w:rPr>
                <w:rFonts w:ascii="Times New Roman" w:hAnsi="Times New Roman" w:cs="Times New Roman"/>
                <w:sz w:val="26"/>
                <w:szCs w:val="26"/>
              </w:rPr>
              <w:t xml:space="preserve"> Документацией о проведении Открытого квалификационного отбора может быть предусмотрено, что победителем Открытого квалификационного отбора может быть признано несколько Участников. Документацией о проведении Открытого квалификационного отбора должно быть установлено </w:t>
            </w:r>
            <w:r>
              <w:rPr>
                <w:rFonts w:ascii="Times New Roman" w:hAnsi="Times New Roman" w:cs="Times New Roman"/>
                <w:sz w:val="26"/>
                <w:szCs w:val="26"/>
              </w:rPr>
              <w:t xml:space="preserve">максимальное </w:t>
            </w:r>
            <w:r w:rsidRPr="00490AB4">
              <w:rPr>
                <w:rFonts w:ascii="Times New Roman" w:hAnsi="Times New Roman" w:cs="Times New Roman"/>
                <w:sz w:val="26"/>
                <w:szCs w:val="26"/>
              </w:rPr>
              <w:t>количество Участников, которые могут быть признаны победителями Открытого квалификационного отбора.</w:t>
            </w:r>
          </w:p>
        </w:tc>
        <w:tc>
          <w:tcPr>
            <w:tcW w:w="7654" w:type="dxa"/>
            <w:shd w:val="clear" w:color="auto" w:fill="auto"/>
          </w:tcPr>
          <w:p w:rsidR="006F29EC" w:rsidRPr="00C66EAC" w:rsidRDefault="006F29EC" w:rsidP="006F29EC">
            <w:pPr>
              <w:suppressAutoHyphens/>
              <w:jc w:val="both"/>
              <w:rPr>
                <w:rStyle w:val="defaultdocbaseattributestylewithoutnowrap1"/>
                <w:rFonts w:ascii="Times New Roman" w:hAnsi="Times New Roman" w:cs="Times New Roman"/>
                <w:sz w:val="26"/>
                <w:szCs w:val="26"/>
              </w:rPr>
            </w:pPr>
            <w:r w:rsidRPr="00490AB4">
              <w:rPr>
                <w:rFonts w:ascii="Times New Roman" w:hAnsi="Times New Roman" w:cs="Times New Roman"/>
                <w:b/>
                <w:sz w:val="26"/>
                <w:szCs w:val="26"/>
              </w:rPr>
              <w:t>26.6.</w:t>
            </w:r>
            <w:r w:rsidRPr="00490AB4">
              <w:rPr>
                <w:rFonts w:ascii="Times New Roman" w:hAnsi="Times New Roman" w:cs="Times New Roman"/>
                <w:sz w:val="26"/>
                <w:szCs w:val="26"/>
              </w:rPr>
              <w:t xml:space="preserve"> Документацией о проведении Открытого квалификационного отбора может быть предусмотрено, что победителем Открытого квалификационного отбора может быть признано несколько Участников. Документацией о проведении Открытого квалификационного отбора должно быть установлено количество Участников, которые могут быть признаны победителями Открытого квалификационного отбора.</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21.</w:t>
            </w:r>
          </w:p>
        </w:tc>
        <w:tc>
          <w:tcPr>
            <w:tcW w:w="7088" w:type="dxa"/>
            <w:shd w:val="clear" w:color="auto" w:fill="auto"/>
          </w:tcPr>
          <w:p w:rsidR="006F29EC" w:rsidRPr="008039A9" w:rsidRDefault="006F29EC" w:rsidP="006F29EC">
            <w:pPr>
              <w:suppressAutoHyphens/>
              <w:jc w:val="both"/>
              <w:rPr>
                <w:rStyle w:val="defaultdocbaseattributestylewithoutnowrap1"/>
                <w:rFonts w:ascii="Times New Roman" w:hAnsi="Times New Roman" w:cs="Times New Roman"/>
                <w:b/>
                <w:color w:val="333333"/>
                <w:sz w:val="26"/>
                <w:szCs w:val="26"/>
              </w:rPr>
            </w:pPr>
            <w:r w:rsidRPr="008039A9">
              <w:rPr>
                <w:rStyle w:val="defaultdocbaseattributestylewithoutnowrap1"/>
                <w:rFonts w:ascii="Times New Roman" w:hAnsi="Times New Roman" w:cs="Times New Roman"/>
                <w:b/>
                <w:color w:val="333333"/>
                <w:sz w:val="26"/>
                <w:szCs w:val="26"/>
              </w:rPr>
              <w:t xml:space="preserve">34.2. </w:t>
            </w:r>
            <w:r w:rsidRPr="008039A9">
              <w:rPr>
                <w:rStyle w:val="defaultdocbaseattributestylewithoutnowrap1"/>
                <w:rFonts w:ascii="Times New Roman" w:hAnsi="Times New Roman" w:cs="Times New Roman"/>
                <w:color w:val="333333"/>
                <w:sz w:val="26"/>
                <w:szCs w:val="26"/>
              </w:rPr>
              <w:t xml:space="preserve">Договор по результатам конкурентной закупки заключается не ранее чем через </w:t>
            </w:r>
            <w:r>
              <w:rPr>
                <w:rStyle w:val="defaultdocbaseattributestylewithoutnowrap1"/>
                <w:rFonts w:ascii="Times New Roman" w:hAnsi="Times New Roman" w:cs="Times New Roman"/>
                <w:color w:val="333333"/>
                <w:sz w:val="26"/>
                <w:szCs w:val="26"/>
              </w:rPr>
              <w:t>десять дней и не позднее</w:t>
            </w:r>
            <w:r w:rsidRPr="008039A9">
              <w:rPr>
                <w:rStyle w:val="defaultdocbaseattributestylewithoutnowrap1"/>
                <w:rFonts w:ascii="Times New Roman" w:hAnsi="Times New Roman" w:cs="Times New Roman"/>
                <w:color w:val="333333"/>
                <w:sz w:val="26"/>
                <w:szCs w:val="26"/>
              </w:rPr>
              <w:t xml:space="preserve"> чем через </w:t>
            </w:r>
            <w:r>
              <w:rPr>
                <w:rStyle w:val="defaultdocbaseattributestylewithoutnowrap1"/>
                <w:rFonts w:ascii="Times New Roman" w:hAnsi="Times New Roman" w:cs="Times New Roman"/>
                <w:color w:val="333333"/>
                <w:sz w:val="26"/>
                <w:szCs w:val="26"/>
              </w:rPr>
              <w:t>двадцать</w:t>
            </w:r>
            <w:r w:rsidRPr="008039A9">
              <w:rPr>
                <w:rStyle w:val="defaultdocbaseattributestylewithoutnowrap1"/>
                <w:rFonts w:ascii="Times New Roman" w:hAnsi="Times New Roman" w:cs="Times New Roman"/>
                <w:color w:val="333333"/>
                <w:sz w:val="26"/>
                <w:szCs w:val="26"/>
              </w:rPr>
              <w:t xml:space="preserve">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c>
          <w:tcPr>
            <w:tcW w:w="7654" w:type="dxa"/>
            <w:shd w:val="clear" w:color="auto" w:fill="auto"/>
          </w:tcPr>
          <w:p w:rsidR="006F29EC" w:rsidRPr="008039A9" w:rsidRDefault="006F29EC" w:rsidP="006F29EC">
            <w:pPr>
              <w:pStyle w:val="a3"/>
              <w:ind w:left="29"/>
              <w:jc w:val="both"/>
              <w:rPr>
                <w:rStyle w:val="defaultdocbaseattributestylewithoutnowrap1"/>
                <w:rFonts w:ascii="Times New Roman" w:hAnsi="Times New Roman" w:cs="Times New Roman"/>
                <w:b/>
                <w:color w:val="333333"/>
                <w:sz w:val="26"/>
                <w:szCs w:val="26"/>
              </w:rPr>
            </w:pPr>
            <w:r w:rsidRPr="008039A9">
              <w:rPr>
                <w:rStyle w:val="defaultdocbaseattributestylewithoutnowrap1"/>
                <w:rFonts w:ascii="Times New Roman" w:hAnsi="Times New Roman" w:cs="Times New Roman"/>
                <w:b/>
                <w:color w:val="333333"/>
                <w:sz w:val="26"/>
                <w:szCs w:val="26"/>
              </w:rPr>
              <w:t xml:space="preserve">34.2. </w:t>
            </w:r>
            <w:r w:rsidRPr="008039A9">
              <w:rPr>
                <w:rStyle w:val="defaultdocbaseattributestylewithoutnowrap1"/>
                <w:rFonts w:ascii="Times New Roman" w:hAnsi="Times New Roman" w:cs="Times New Roman"/>
                <w:color w:val="333333"/>
                <w:sz w:val="26"/>
                <w:szCs w:val="26"/>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22.</w:t>
            </w:r>
          </w:p>
        </w:tc>
        <w:tc>
          <w:tcPr>
            <w:tcW w:w="7088" w:type="dxa"/>
            <w:shd w:val="clear" w:color="auto" w:fill="auto"/>
          </w:tcPr>
          <w:p w:rsidR="006F29EC" w:rsidRPr="008039A9" w:rsidRDefault="006F29EC" w:rsidP="006F29EC">
            <w:pPr>
              <w:suppressAutoHyphens/>
              <w:jc w:val="both"/>
              <w:rPr>
                <w:rStyle w:val="defaultdocbaseattributestylewithoutnowrap1"/>
                <w:rFonts w:ascii="Times New Roman" w:eastAsia="Times New Roman" w:hAnsi="Times New Roman" w:cs="Times New Roman"/>
                <w:sz w:val="26"/>
                <w:szCs w:val="26"/>
              </w:rPr>
            </w:pPr>
            <w:r w:rsidRPr="008039A9">
              <w:rPr>
                <w:rStyle w:val="defaultdocbaseattributestylewithoutnowrap1"/>
                <w:rFonts w:ascii="Times New Roman" w:hAnsi="Times New Roman" w:cs="Times New Roman"/>
                <w:b/>
                <w:color w:val="333333"/>
                <w:sz w:val="26"/>
                <w:szCs w:val="26"/>
              </w:rPr>
              <w:t>34.6</w:t>
            </w:r>
            <w:r>
              <w:rPr>
                <w:rStyle w:val="defaultdocbaseattributestylewithoutnowrap1"/>
                <w:rFonts w:ascii="Times New Roman" w:hAnsi="Times New Roman" w:cs="Times New Roman"/>
                <w:color w:val="333333"/>
                <w:sz w:val="26"/>
                <w:szCs w:val="26"/>
              </w:rPr>
              <w:t>.</w:t>
            </w:r>
            <w:r w:rsidRPr="008039A9">
              <w:rPr>
                <w:rStyle w:val="defaultdocbaseattributestylewithoutnowrap1"/>
                <w:rFonts w:ascii="Times New Roman" w:hAnsi="Times New Roman" w:cs="Times New Roman"/>
                <w:color w:val="333333"/>
                <w:sz w:val="26"/>
                <w:szCs w:val="26"/>
              </w:rPr>
              <w:t xml:space="preserve">Если иной срок не установлен Документацией о закупке, Общество в течение 10 (десяти) 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 п. 34.3, 34.4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w:t>
            </w:r>
            <w:r w:rsidRPr="008039A9">
              <w:rPr>
                <w:rStyle w:val="defaultdocbaseattributestylewithoutnowrap1"/>
                <w:rFonts w:ascii="Times New Roman" w:hAnsi="Times New Roman" w:cs="Times New Roman"/>
                <w:color w:val="333333"/>
                <w:sz w:val="26"/>
                <w:szCs w:val="26"/>
              </w:rPr>
              <w:lastRenderedPageBreak/>
              <w:t>победителя Закупки, или направляет его по почтовому адресу победителя Закупки, или направляет по адресу места нахождения победителя Закупки. При этом срок заключения Договора (Договоров) по итогам торгов должен быть не ранее 10 (десяти) дней и не позднее 20 (двадцати) дней со дня размещения результатов закупки в ЕИС.</w:t>
            </w:r>
          </w:p>
        </w:tc>
        <w:tc>
          <w:tcPr>
            <w:tcW w:w="7654" w:type="dxa"/>
            <w:shd w:val="clear" w:color="auto" w:fill="auto"/>
          </w:tcPr>
          <w:p w:rsidR="006F29EC" w:rsidRPr="008039A9" w:rsidRDefault="006F29EC" w:rsidP="006F29EC">
            <w:pPr>
              <w:pStyle w:val="a3"/>
              <w:ind w:left="29"/>
              <w:jc w:val="both"/>
              <w:rPr>
                <w:rStyle w:val="defaultdocbaseattributestylewithoutnowrap1"/>
                <w:rFonts w:ascii="Times New Roman" w:hAnsi="Times New Roman" w:cs="Times New Roman"/>
                <w:color w:val="333333"/>
                <w:sz w:val="26"/>
                <w:szCs w:val="26"/>
              </w:rPr>
            </w:pPr>
            <w:r w:rsidRPr="008039A9">
              <w:rPr>
                <w:rStyle w:val="defaultdocbaseattributestylewithoutnowrap1"/>
                <w:rFonts w:ascii="Times New Roman" w:hAnsi="Times New Roman" w:cs="Times New Roman"/>
                <w:b/>
                <w:color w:val="333333"/>
                <w:sz w:val="26"/>
                <w:szCs w:val="26"/>
              </w:rPr>
              <w:lastRenderedPageBreak/>
              <w:t>34.6</w:t>
            </w:r>
            <w:r>
              <w:rPr>
                <w:rStyle w:val="defaultdocbaseattributestylewithoutnowrap1"/>
                <w:rFonts w:ascii="Times New Roman" w:hAnsi="Times New Roman" w:cs="Times New Roman"/>
                <w:color w:val="333333"/>
                <w:sz w:val="26"/>
                <w:szCs w:val="26"/>
              </w:rPr>
              <w:t>.</w:t>
            </w:r>
            <w:r w:rsidRPr="008039A9">
              <w:rPr>
                <w:rStyle w:val="defaultdocbaseattributestylewithoutnowrap1"/>
                <w:rFonts w:ascii="Times New Roman" w:hAnsi="Times New Roman" w:cs="Times New Roman"/>
                <w:color w:val="333333"/>
                <w:sz w:val="26"/>
                <w:szCs w:val="26"/>
              </w:rPr>
              <w:t xml:space="preserve">Если иной срок не установлен Документацией о закупке, Общество в течение 10 (десяти) 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 п. 34.3, 34.4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w:t>
            </w:r>
            <w:r w:rsidRPr="008039A9">
              <w:rPr>
                <w:rStyle w:val="defaultdocbaseattributestylewithoutnowrap1"/>
                <w:rFonts w:ascii="Times New Roman" w:hAnsi="Times New Roman" w:cs="Times New Roman"/>
                <w:color w:val="333333"/>
                <w:sz w:val="26"/>
                <w:szCs w:val="26"/>
              </w:rPr>
              <w:lastRenderedPageBreak/>
              <w:t>победителя Закупки, или направляет по адресу места нахождения победителя Закупки.</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lastRenderedPageBreak/>
              <w:t>23.</w:t>
            </w:r>
          </w:p>
        </w:tc>
        <w:tc>
          <w:tcPr>
            <w:tcW w:w="7088" w:type="dxa"/>
            <w:shd w:val="clear" w:color="auto" w:fill="auto"/>
          </w:tcPr>
          <w:p w:rsidR="006F29EC" w:rsidRPr="008039A9" w:rsidRDefault="006F29EC" w:rsidP="006F29EC">
            <w:pPr>
              <w:pStyle w:val="a3"/>
              <w:ind w:left="0"/>
              <w:rPr>
                <w:rStyle w:val="defaultdocbaseattributestylewithoutnowrap1"/>
                <w:rFonts w:ascii="Times New Roman" w:hAnsi="Times New Roman" w:cs="Times New Roman"/>
                <w:color w:val="333333"/>
                <w:sz w:val="26"/>
                <w:szCs w:val="26"/>
              </w:rPr>
            </w:pPr>
            <w:r w:rsidRPr="008039A9">
              <w:rPr>
                <w:rStyle w:val="defaultdocbaseattributestylewithoutnowrap1"/>
                <w:rFonts w:ascii="Times New Roman" w:hAnsi="Times New Roman" w:cs="Times New Roman"/>
                <w:color w:val="333333"/>
                <w:sz w:val="26"/>
                <w:szCs w:val="26"/>
              </w:rPr>
              <w:t>Замена редакции по тексту документа</w:t>
            </w:r>
          </w:p>
          <w:p w:rsidR="006F29EC" w:rsidRPr="008039A9" w:rsidRDefault="006F29EC" w:rsidP="006F29EC">
            <w:pPr>
              <w:pStyle w:val="a3"/>
              <w:ind w:left="0"/>
              <w:rPr>
                <w:rStyle w:val="defaultdocbaseattributestylewithoutnowrap1"/>
                <w:rFonts w:ascii="Times New Roman" w:hAnsi="Times New Roman" w:cs="Times New Roman"/>
                <w:b/>
                <w:color w:val="333333"/>
                <w:sz w:val="26"/>
                <w:szCs w:val="26"/>
              </w:rPr>
            </w:pPr>
            <w:r w:rsidRPr="008039A9">
              <w:rPr>
                <w:rStyle w:val="defaultdocbaseattributestylewithoutnowrap1"/>
                <w:rFonts w:ascii="Times New Roman" w:hAnsi="Times New Roman" w:cs="Times New Roman"/>
                <w:color w:val="333333"/>
                <w:sz w:val="26"/>
                <w:szCs w:val="26"/>
              </w:rPr>
              <w:t>Редакция 15</w:t>
            </w:r>
          </w:p>
        </w:tc>
        <w:tc>
          <w:tcPr>
            <w:tcW w:w="7654" w:type="dxa"/>
            <w:shd w:val="clear" w:color="auto" w:fill="auto"/>
          </w:tcPr>
          <w:p w:rsidR="006F29EC" w:rsidRPr="008039A9" w:rsidRDefault="006F29EC" w:rsidP="006F29EC">
            <w:pPr>
              <w:pStyle w:val="a3"/>
              <w:ind w:left="0"/>
              <w:rPr>
                <w:rStyle w:val="defaultdocbaseattributestylewithoutnowrap1"/>
                <w:rFonts w:ascii="Times New Roman" w:hAnsi="Times New Roman" w:cs="Times New Roman"/>
                <w:color w:val="333333"/>
                <w:sz w:val="26"/>
                <w:szCs w:val="26"/>
              </w:rPr>
            </w:pPr>
            <w:r w:rsidRPr="008039A9">
              <w:rPr>
                <w:rStyle w:val="defaultdocbaseattributestylewithoutnowrap1"/>
                <w:rFonts w:ascii="Times New Roman" w:hAnsi="Times New Roman" w:cs="Times New Roman"/>
                <w:color w:val="333333"/>
                <w:sz w:val="26"/>
                <w:szCs w:val="26"/>
              </w:rPr>
              <w:t>Замена редакции по тексту документа</w:t>
            </w:r>
          </w:p>
          <w:p w:rsidR="006F29EC" w:rsidRPr="008039A9" w:rsidRDefault="006F29EC" w:rsidP="006F29EC">
            <w:pPr>
              <w:pStyle w:val="a3"/>
              <w:ind w:left="0"/>
              <w:rPr>
                <w:rStyle w:val="defaultdocbaseattributestylewithoutnowrap1"/>
                <w:rFonts w:ascii="Times New Roman" w:hAnsi="Times New Roman" w:cs="Times New Roman"/>
                <w:b/>
                <w:color w:val="333333"/>
                <w:sz w:val="26"/>
                <w:szCs w:val="26"/>
              </w:rPr>
            </w:pPr>
            <w:r w:rsidRPr="008039A9">
              <w:rPr>
                <w:rStyle w:val="defaultdocbaseattributestylewithoutnowrap1"/>
                <w:rFonts w:ascii="Times New Roman" w:hAnsi="Times New Roman" w:cs="Times New Roman"/>
                <w:color w:val="333333"/>
                <w:sz w:val="26"/>
                <w:szCs w:val="26"/>
              </w:rPr>
              <w:t>Редакция 16</w:t>
            </w:r>
          </w:p>
        </w:tc>
      </w:tr>
      <w:tr w:rsidR="006F29EC" w:rsidRPr="00CB38B4" w:rsidTr="00F07E8C">
        <w:trPr>
          <w:trHeight w:val="627"/>
        </w:trPr>
        <w:tc>
          <w:tcPr>
            <w:tcW w:w="562" w:type="dxa"/>
            <w:shd w:val="clear" w:color="auto" w:fill="auto"/>
          </w:tcPr>
          <w:p w:rsidR="006F29EC" w:rsidRDefault="006F29EC" w:rsidP="006F29EC">
            <w:pPr>
              <w:jc w:val="center"/>
              <w:rPr>
                <w:rStyle w:val="defaultdocbaseattributestylewithoutnowrap1"/>
                <w:rFonts w:ascii="Times New Roman" w:hAnsi="Times New Roman" w:cs="Times New Roman"/>
                <w:b/>
                <w:color w:val="333333"/>
                <w:sz w:val="26"/>
                <w:szCs w:val="26"/>
              </w:rPr>
            </w:pPr>
            <w:r>
              <w:rPr>
                <w:rStyle w:val="defaultdocbaseattributestylewithoutnowrap1"/>
                <w:rFonts w:ascii="Times New Roman" w:hAnsi="Times New Roman" w:cs="Times New Roman"/>
                <w:b/>
                <w:color w:val="333333"/>
                <w:sz w:val="26"/>
                <w:szCs w:val="26"/>
              </w:rPr>
              <w:t>24.</w:t>
            </w:r>
          </w:p>
        </w:tc>
        <w:tc>
          <w:tcPr>
            <w:tcW w:w="7088" w:type="dxa"/>
            <w:shd w:val="clear" w:color="auto" w:fill="auto"/>
          </w:tcPr>
          <w:p w:rsidR="006F29EC" w:rsidRPr="00406309" w:rsidRDefault="006F29EC" w:rsidP="006F29EC">
            <w:pPr>
              <w:pStyle w:val="a3"/>
              <w:ind w:left="0"/>
              <w:rPr>
                <w:rStyle w:val="defaultdocbaseattributestylewithoutnowrap1"/>
                <w:rFonts w:ascii="Times New Roman" w:hAnsi="Times New Roman" w:cs="Times New Roman"/>
                <w:b/>
                <w:color w:val="333333"/>
                <w:sz w:val="26"/>
                <w:szCs w:val="26"/>
              </w:rPr>
            </w:pPr>
            <w:r w:rsidRPr="00406309">
              <w:rPr>
                <w:rStyle w:val="defaultdocbaseattributestylewithoutnowrap1"/>
                <w:rFonts w:ascii="Times New Roman" w:hAnsi="Times New Roman" w:cs="Times New Roman"/>
                <w:b/>
                <w:color w:val="333333"/>
                <w:sz w:val="26"/>
                <w:szCs w:val="26"/>
              </w:rPr>
              <w:t xml:space="preserve">Раздел </w:t>
            </w:r>
            <w:r w:rsidRPr="00406309">
              <w:rPr>
                <w:rStyle w:val="defaultdocbaseattributestylewithoutnowrap1"/>
                <w:rFonts w:ascii="Times New Roman" w:hAnsi="Times New Roman" w:cs="Times New Roman"/>
                <w:b/>
                <w:color w:val="333333"/>
                <w:sz w:val="26"/>
                <w:szCs w:val="26"/>
                <w:lang w:val="en-US"/>
              </w:rPr>
              <w:t>VII</w:t>
            </w:r>
          </w:p>
          <w:p w:rsidR="006F29EC" w:rsidRPr="008039A9" w:rsidRDefault="006F29EC" w:rsidP="006F29EC">
            <w:pPr>
              <w:pStyle w:val="a3"/>
              <w:ind w:left="0"/>
              <w:rPr>
                <w:rStyle w:val="defaultdocbaseattributestylewithoutnowrap1"/>
                <w:rFonts w:ascii="Times New Roman" w:hAnsi="Times New Roman" w:cs="Times New Roman"/>
                <w:color w:val="333333"/>
                <w:sz w:val="26"/>
                <w:szCs w:val="26"/>
              </w:rPr>
            </w:pPr>
            <w:r w:rsidRPr="008039A9">
              <w:rPr>
                <w:rStyle w:val="defaultdocbaseattributestylewithoutnowrap1"/>
                <w:rFonts w:ascii="Times New Roman" w:hAnsi="Times New Roman" w:cs="Times New Roman"/>
                <w:color w:val="333333"/>
                <w:sz w:val="26"/>
                <w:szCs w:val="26"/>
              </w:rPr>
              <w:t xml:space="preserve">Настоящее Положение вступает в </w:t>
            </w:r>
            <w:bookmarkStart w:id="2" w:name="_Письмо_о_подаче"/>
            <w:bookmarkStart w:id="3" w:name="_Заявка_о_подаче"/>
            <w:bookmarkEnd w:id="2"/>
            <w:bookmarkEnd w:id="3"/>
            <w:r w:rsidRPr="008039A9">
              <w:rPr>
                <w:rStyle w:val="defaultdocbaseattributestylewithoutnowrap1"/>
                <w:rFonts w:ascii="Times New Roman" w:hAnsi="Times New Roman" w:cs="Times New Roman"/>
                <w:color w:val="333333"/>
                <w:sz w:val="26"/>
                <w:szCs w:val="26"/>
              </w:rPr>
              <w:t>силу по истечении 7 (семи) дней с даты его утверждения.</w:t>
            </w:r>
          </w:p>
        </w:tc>
        <w:tc>
          <w:tcPr>
            <w:tcW w:w="7654" w:type="dxa"/>
            <w:shd w:val="clear" w:color="auto" w:fill="auto"/>
          </w:tcPr>
          <w:p w:rsidR="006F29EC" w:rsidRPr="00406309" w:rsidRDefault="006F29EC" w:rsidP="006F29EC">
            <w:pPr>
              <w:pStyle w:val="a3"/>
              <w:ind w:left="0"/>
              <w:rPr>
                <w:rStyle w:val="defaultdocbaseattributestylewithoutnowrap1"/>
                <w:rFonts w:ascii="Times New Roman" w:hAnsi="Times New Roman" w:cs="Times New Roman"/>
                <w:b/>
                <w:color w:val="333333"/>
                <w:sz w:val="26"/>
                <w:szCs w:val="26"/>
              </w:rPr>
            </w:pPr>
            <w:r w:rsidRPr="00406309">
              <w:rPr>
                <w:rStyle w:val="defaultdocbaseattributestylewithoutnowrap1"/>
                <w:rFonts w:ascii="Times New Roman" w:hAnsi="Times New Roman" w:cs="Times New Roman"/>
                <w:b/>
                <w:color w:val="333333"/>
                <w:sz w:val="26"/>
                <w:szCs w:val="26"/>
              </w:rPr>
              <w:t xml:space="preserve">Раздел </w:t>
            </w:r>
            <w:r w:rsidRPr="00406309">
              <w:rPr>
                <w:rStyle w:val="defaultdocbaseattributestylewithoutnowrap1"/>
                <w:rFonts w:ascii="Times New Roman" w:hAnsi="Times New Roman" w:cs="Times New Roman"/>
                <w:b/>
                <w:color w:val="333333"/>
                <w:sz w:val="26"/>
                <w:szCs w:val="26"/>
                <w:lang w:val="en-US"/>
              </w:rPr>
              <w:t>VII</w:t>
            </w:r>
          </w:p>
          <w:p w:rsidR="006F29EC" w:rsidRPr="008039A9" w:rsidRDefault="006F29EC" w:rsidP="006F29EC">
            <w:pPr>
              <w:pStyle w:val="a3"/>
              <w:ind w:left="0"/>
              <w:rPr>
                <w:rStyle w:val="defaultdocbaseattributestylewithoutnowrap1"/>
                <w:rFonts w:ascii="Times New Roman" w:hAnsi="Times New Roman" w:cs="Times New Roman"/>
                <w:color w:val="333333"/>
                <w:sz w:val="26"/>
                <w:szCs w:val="26"/>
              </w:rPr>
            </w:pPr>
            <w:r w:rsidRPr="008039A9">
              <w:rPr>
                <w:rStyle w:val="defaultdocbaseattributestylewithoutnowrap1"/>
                <w:rFonts w:ascii="Times New Roman" w:hAnsi="Times New Roman" w:cs="Times New Roman"/>
                <w:color w:val="333333"/>
                <w:sz w:val="26"/>
                <w:szCs w:val="26"/>
              </w:rPr>
              <w:t>Настоящее Положение вступает в силу по истечении 15 (пятнадцати) дней с даты его утверждения.</w:t>
            </w:r>
          </w:p>
        </w:tc>
      </w:tr>
    </w:tbl>
    <w:p w:rsidR="009D153C" w:rsidRPr="00441CB3" w:rsidRDefault="009D153C" w:rsidP="00971981">
      <w:pPr>
        <w:rPr>
          <w:rFonts w:ascii="Times New Roman" w:hAnsi="Times New Roman" w:cs="Times New Roman"/>
          <w:sz w:val="18"/>
          <w:szCs w:val="18"/>
        </w:rPr>
      </w:pPr>
      <w:bookmarkStart w:id="4" w:name="_GoBack"/>
      <w:bookmarkEnd w:id="4"/>
    </w:p>
    <w:sectPr w:rsidR="009D153C" w:rsidRPr="00441CB3" w:rsidSect="008476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2A" w:rsidRDefault="00F8252A" w:rsidP="00441CB3">
      <w:r>
        <w:separator/>
      </w:r>
    </w:p>
  </w:endnote>
  <w:endnote w:type="continuationSeparator" w:id="0">
    <w:p w:rsidR="00F8252A" w:rsidRDefault="00F8252A" w:rsidP="0044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2A" w:rsidRDefault="00F8252A" w:rsidP="00441CB3">
      <w:r>
        <w:separator/>
      </w:r>
    </w:p>
  </w:footnote>
  <w:footnote w:type="continuationSeparator" w:id="0">
    <w:p w:rsidR="00F8252A" w:rsidRDefault="00F8252A" w:rsidP="0044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DA9"/>
    <w:multiLevelType w:val="hybridMultilevel"/>
    <w:tmpl w:val="B2DC5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C05EF1"/>
    <w:multiLevelType w:val="multilevel"/>
    <w:tmpl w:val="3CF4C656"/>
    <w:lvl w:ilvl="0">
      <w:start w:val="2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43B94"/>
    <w:multiLevelType w:val="hybridMultilevel"/>
    <w:tmpl w:val="B9BE3F2C"/>
    <w:lvl w:ilvl="0" w:tplc="A3D21EF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53FE0"/>
    <w:multiLevelType w:val="hybridMultilevel"/>
    <w:tmpl w:val="8D184004"/>
    <w:lvl w:ilvl="0" w:tplc="890AC9C8">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17B24E10"/>
    <w:multiLevelType w:val="multilevel"/>
    <w:tmpl w:val="356E253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ascii="Times New Roman" w:hAnsi="Times New Roman"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15:restartNumberingAfterBreak="0">
    <w:nsid w:val="1C506D67"/>
    <w:multiLevelType w:val="hybridMultilevel"/>
    <w:tmpl w:val="5D0631CE"/>
    <w:lvl w:ilvl="0" w:tplc="960E2CA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524E4"/>
    <w:multiLevelType w:val="multilevel"/>
    <w:tmpl w:val="1C0AF6B8"/>
    <w:lvl w:ilvl="0">
      <w:start w:val="25"/>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1A4FA2"/>
    <w:multiLevelType w:val="hybridMultilevel"/>
    <w:tmpl w:val="BED45F80"/>
    <w:lvl w:ilvl="0" w:tplc="02DAE8A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507105"/>
    <w:multiLevelType w:val="hybridMultilevel"/>
    <w:tmpl w:val="2FD6AABC"/>
    <w:lvl w:ilvl="0" w:tplc="04190001">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48F40E0"/>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0" w15:restartNumberingAfterBreak="0">
    <w:nsid w:val="26000666"/>
    <w:multiLevelType w:val="multilevel"/>
    <w:tmpl w:val="6630C066"/>
    <w:lvl w:ilvl="0">
      <w:start w:val="8"/>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24159"/>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35F52C24"/>
    <w:multiLevelType w:val="hybridMultilevel"/>
    <w:tmpl w:val="F00A4638"/>
    <w:lvl w:ilvl="0" w:tplc="B9E62E0C">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BB5A92"/>
    <w:multiLevelType w:val="multilevel"/>
    <w:tmpl w:val="9B8A8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2B1CA4"/>
    <w:multiLevelType w:val="hybridMultilevel"/>
    <w:tmpl w:val="3F46F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AD48F8"/>
    <w:multiLevelType w:val="multilevel"/>
    <w:tmpl w:val="224E7274"/>
    <w:lvl w:ilvl="0">
      <w:start w:val="1"/>
      <w:numFmt w:val="decimal"/>
      <w:suff w:val="space"/>
      <w:lvlText w:val="%1."/>
      <w:lvlJc w:val="left"/>
      <w:pPr>
        <w:ind w:left="0" w:firstLine="0"/>
      </w:pPr>
      <w:rPr>
        <w:rFonts w:cs="Times New Roman" w:hint="default"/>
        <w:b/>
      </w:rPr>
    </w:lvl>
    <w:lvl w:ilvl="1">
      <w:start w:val="1"/>
      <w:numFmt w:val="bullet"/>
      <w:lvlText w:val=""/>
      <w:lvlJc w:val="left"/>
      <w:pPr>
        <w:ind w:left="0" w:firstLine="0"/>
      </w:pPr>
      <w:rPr>
        <w:rFonts w:ascii="Symbol" w:hAnsi="Symbol"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6"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D00DA0"/>
    <w:multiLevelType w:val="hybridMultilevel"/>
    <w:tmpl w:val="B798B71E"/>
    <w:lvl w:ilvl="0" w:tplc="02DC02C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3711DF"/>
    <w:multiLevelType w:val="multilevel"/>
    <w:tmpl w:val="D08E4F7E"/>
    <w:lvl w:ilvl="0">
      <w:start w:val="10"/>
      <w:numFmt w:val="decimal"/>
      <w:lvlText w:val="%1."/>
      <w:lvlJc w:val="left"/>
      <w:pPr>
        <w:ind w:left="660" w:hanging="660"/>
      </w:pPr>
      <w:rPr>
        <w:rFonts w:hint="default"/>
      </w:rPr>
    </w:lvl>
    <w:lvl w:ilvl="1">
      <w:start w:val="2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906AC3"/>
    <w:multiLevelType w:val="hybridMultilevel"/>
    <w:tmpl w:val="4AAAB82A"/>
    <w:lvl w:ilvl="0" w:tplc="6E7CF02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625402"/>
    <w:multiLevelType w:val="hybridMultilevel"/>
    <w:tmpl w:val="68F299EE"/>
    <w:lvl w:ilvl="0" w:tplc="78B43504">
      <w:start w:val="1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57BF0D61"/>
    <w:multiLevelType w:val="multilevel"/>
    <w:tmpl w:val="9032713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4" w15:restartNumberingAfterBreak="0">
    <w:nsid w:val="5A245303"/>
    <w:multiLevelType w:val="hybridMultilevel"/>
    <w:tmpl w:val="E3DC3416"/>
    <w:lvl w:ilvl="0" w:tplc="944EF8D6">
      <w:start w:val="1"/>
      <w:numFmt w:val="bullet"/>
      <w:suff w:val="space"/>
      <w:lvlText w:val=""/>
      <w:lvlJc w:val="left"/>
      <w:pPr>
        <w:ind w:left="0" w:firstLine="0"/>
      </w:pPr>
      <w:rPr>
        <w:rFonts w:ascii="Symbol" w:hAnsi="Symbol" w:hint="default"/>
        <w:sz w:val="18"/>
        <w:szCs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1A0B2F"/>
    <w:multiLevelType w:val="hybridMultilevel"/>
    <w:tmpl w:val="8C4E1188"/>
    <w:lvl w:ilvl="0" w:tplc="4D18FFA8">
      <w:start w:val="1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638A638C"/>
    <w:multiLevelType w:val="hybridMultilevel"/>
    <w:tmpl w:val="6FB0121E"/>
    <w:lvl w:ilvl="0" w:tplc="ACE6995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540229"/>
    <w:multiLevelType w:val="multilevel"/>
    <w:tmpl w:val="187007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FB3BA7"/>
    <w:multiLevelType w:val="hybridMultilevel"/>
    <w:tmpl w:val="CBF89306"/>
    <w:lvl w:ilvl="0" w:tplc="0714F72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AA360F"/>
    <w:multiLevelType w:val="hybridMultilevel"/>
    <w:tmpl w:val="D0F840BA"/>
    <w:lvl w:ilvl="0" w:tplc="0B4A9BC8">
      <w:start w:val="1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15:restartNumberingAfterBreak="0">
    <w:nsid w:val="77234825"/>
    <w:multiLevelType w:val="hybridMultilevel"/>
    <w:tmpl w:val="CF94F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AC0A9E"/>
    <w:multiLevelType w:val="hybridMultilevel"/>
    <w:tmpl w:val="385478D4"/>
    <w:lvl w:ilvl="0" w:tplc="2632BEC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14"/>
  </w:num>
  <w:num w:numId="2">
    <w:abstractNumId w:val="0"/>
  </w:num>
  <w:num w:numId="3">
    <w:abstractNumId w:val="23"/>
  </w:num>
  <w:num w:numId="4">
    <w:abstractNumId w:val="29"/>
  </w:num>
  <w:num w:numId="5">
    <w:abstractNumId w:val="24"/>
  </w:num>
  <w:num w:numId="6">
    <w:abstractNumId w:val="22"/>
  </w:num>
  <w:num w:numId="7">
    <w:abstractNumId w:val="27"/>
  </w:num>
  <w:num w:numId="8">
    <w:abstractNumId w:val="15"/>
  </w:num>
  <w:num w:numId="9">
    <w:abstractNumId w:val="5"/>
  </w:num>
  <w:num w:numId="10">
    <w:abstractNumId w:val="2"/>
  </w:num>
  <w:num w:numId="11">
    <w:abstractNumId w:val="16"/>
  </w:num>
  <w:num w:numId="12">
    <w:abstractNumId w:val="19"/>
  </w:num>
  <w:num w:numId="13">
    <w:abstractNumId w:val="1"/>
  </w:num>
  <w:num w:numId="14">
    <w:abstractNumId w:val="7"/>
  </w:num>
  <w:num w:numId="15">
    <w:abstractNumId w:val="8"/>
  </w:num>
  <w:num w:numId="16">
    <w:abstractNumId w:val="17"/>
  </w:num>
  <w:num w:numId="17">
    <w:abstractNumId w:val="18"/>
  </w:num>
  <w:num w:numId="18">
    <w:abstractNumId w:val="31"/>
  </w:num>
  <w:num w:numId="19">
    <w:abstractNumId w:val="4"/>
  </w:num>
  <w:num w:numId="20">
    <w:abstractNumId w:val="6"/>
  </w:num>
  <w:num w:numId="21">
    <w:abstractNumId w:val="9"/>
  </w:num>
  <w:num w:numId="22">
    <w:abstractNumId w:val="26"/>
  </w:num>
  <w:num w:numId="23">
    <w:abstractNumId w:val="13"/>
  </w:num>
  <w:num w:numId="24">
    <w:abstractNumId w:val="28"/>
  </w:num>
  <w:num w:numId="25">
    <w:abstractNumId w:val="21"/>
  </w:num>
  <w:num w:numId="26">
    <w:abstractNumId w:val="11"/>
  </w:num>
  <w:num w:numId="27">
    <w:abstractNumId w:val="12"/>
  </w:num>
  <w:num w:numId="28">
    <w:abstractNumId w:val="25"/>
  </w:num>
  <w:num w:numId="29">
    <w:abstractNumId w:val="20"/>
  </w:num>
  <w:num w:numId="30">
    <w:abstractNumId w:val="3"/>
  </w:num>
  <w:num w:numId="31">
    <w:abstractNumId w:val="32"/>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90"/>
    <w:rsid w:val="00000C7C"/>
    <w:rsid w:val="00003CE9"/>
    <w:rsid w:val="00014675"/>
    <w:rsid w:val="00026CC8"/>
    <w:rsid w:val="0004186F"/>
    <w:rsid w:val="00045D22"/>
    <w:rsid w:val="000528C8"/>
    <w:rsid w:val="0005789F"/>
    <w:rsid w:val="000656F9"/>
    <w:rsid w:val="00073EE3"/>
    <w:rsid w:val="000907C7"/>
    <w:rsid w:val="00090BB1"/>
    <w:rsid w:val="000A1388"/>
    <w:rsid w:val="000A71D9"/>
    <w:rsid w:val="000B7BD6"/>
    <w:rsid w:val="000D36BF"/>
    <w:rsid w:val="000D665D"/>
    <w:rsid w:val="000D775F"/>
    <w:rsid w:val="000E1DEC"/>
    <w:rsid w:val="000E5FAD"/>
    <w:rsid w:val="000F0BC4"/>
    <w:rsid w:val="000F607D"/>
    <w:rsid w:val="000F7A4A"/>
    <w:rsid w:val="00105017"/>
    <w:rsid w:val="00117055"/>
    <w:rsid w:val="001202FB"/>
    <w:rsid w:val="00121CF8"/>
    <w:rsid w:val="001551AE"/>
    <w:rsid w:val="00155262"/>
    <w:rsid w:val="00157FD2"/>
    <w:rsid w:val="001619CB"/>
    <w:rsid w:val="00163690"/>
    <w:rsid w:val="00171D82"/>
    <w:rsid w:val="001828EA"/>
    <w:rsid w:val="00183D6A"/>
    <w:rsid w:val="00183E54"/>
    <w:rsid w:val="001874AB"/>
    <w:rsid w:val="00190FFD"/>
    <w:rsid w:val="0019186D"/>
    <w:rsid w:val="00196E52"/>
    <w:rsid w:val="001C19DD"/>
    <w:rsid w:val="001C1BFD"/>
    <w:rsid w:val="001C7F77"/>
    <w:rsid w:val="001D2551"/>
    <w:rsid w:val="001D5CD5"/>
    <w:rsid w:val="001E6CC9"/>
    <w:rsid w:val="0020381D"/>
    <w:rsid w:val="00205A4B"/>
    <w:rsid w:val="00211083"/>
    <w:rsid w:val="002146F3"/>
    <w:rsid w:val="0022207B"/>
    <w:rsid w:val="002256F7"/>
    <w:rsid w:val="002259F2"/>
    <w:rsid w:val="002305D0"/>
    <w:rsid w:val="00232576"/>
    <w:rsid w:val="00236864"/>
    <w:rsid w:val="00255BD5"/>
    <w:rsid w:val="00255CE4"/>
    <w:rsid w:val="00260BBB"/>
    <w:rsid w:val="00262222"/>
    <w:rsid w:val="00266DF1"/>
    <w:rsid w:val="00274DC5"/>
    <w:rsid w:val="00276AB9"/>
    <w:rsid w:val="00280D65"/>
    <w:rsid w:val="00287AEC"/>
    <w:rsid w:val="00291E61"/>
    <w:rsid w:val="002A5FD8"/>
    <w:rsid w:val="002B7B04"/>
    <w:rsid w:val="002C0F3C"/>
    <w:rsid w:val="002C6529"/>
    <w:rsid w:val="002D1C03"/>
    <w:rsid w:val="002D3406"/>
    <w:rsid w:val="002D7E42"/>
    <w:rsid w:val="002E0683"/>
    <w:rsid w:val="002E105F"/>
    <w:rsid w:val="002E2B0F"/>
    <w:rsid w:val="002E59B7"/>
    <w:rsid w:val="002E5E3F"/>
    <w:rsid w:val="002E6B70"/>
    <w:rsid w:val="002F0183"/>
    <w:rsid w:val="002F6C76"/>
    <w:rsid w:val="00301B03"/>
    <w:rsid w:val="003047F7"/>
    <w:rsid w:val="00305ADA"/>
    <w:rsid w:val="003129A4"/>
    <w:rsid w:val="00313345"/>
    <w:rsid w:val="003151FA"/>
    <w:rsid w:val="00315B00"/>
    <w:rsid w:val="00316FFC"/>
    <w:rsid w:val="00322CEA"/>
    <w:rsid w:val="003270DC"/>
    <w:rsid w:val="003313C3"/>
    <w:rsid w:val="003360E7"/>
    <w:rsid w:val="00352CB1"/>
    <w:rsid w:val="00365B89"/>
    <w:rsid w:val="003664EA"/>
    <w:rsid w:val="00367FD2"/>
    <w:rsid w:val="00372206"/>
    <w:rsid w:val="00372B6E"/>
    <w:rsid w:val="003773A2"/>
    <w:rsid w:val="00377E38"/>
    <w:rsid w:val="00392393"/>
    <w:rsid w:val="003B703A"/>
    <w:rsid w:val="003C7107"/>
    <w:rsid w:val="003D7D90"/>
    <w:rsid w:val="003E3867"/>
    <w:rsid w:val="003E79DD"/>
    <w:rsid w:val="003F0084"/>
    <w:rsid w:val="003F5EE5"/>
    <w:rsid w:val="003F651A"/>
    <w:rsid w:val="00402AB1"/>
    <w:rsid w:val="00404E76"/>
    <w:rsid w:val="00405DCD"/>
    <w:rsid w:val="00406309"/>
    <w:rsid w:val="00410507"/>
    <w:rsid w:val="00413037"/>
    <w:rsid w:val="00420131"/>
    <w:rsid w:val="004340CA"/>
    <w:rsid w:val="004347BE"/>
    <w:rsid w:val="00441CB3"/>
    <w:rsid w:val="00443FAC"/>
    <w:rsid w:val="00452EA1"/>
    <w:rsid w:val="00463E1E"/>
    <w:rsid w:val="00474DDB"/>
    <w:rsid w:val="00477E54"/>
    <w:rsid w:val="00490AB4"/>
    <w:rsid w:val="004A18FB"/>
    <w:rsid w:val="004A2C37"/>
    <w:rsid w:val="004C444D"/>
    <w:rsid w:val="004C4484"/>
    <w:rsid w:val="004E5452"/>
    <w:rsid w:val="004F5543"/>
    <w:rsid w:val="00503ABC"/>
    <w:rsid w:val="00503BCD"/>
    <w:rsid w:val="005065CA"/>
    <w:rsid w:val="00511721"/>
    <w:rsid w:val="00511D1F"/>
    <w:rsid w:val="00513D11"/>
    <w:rsid w:val="00521832"/>
    <w:rsid w:val="00524B36"/>
    <w:rsid w:val="0053043D"/>
    <w:rsid w:val="005334B7"/>
    <w:rsid w:val="00534605"/>
    <w:rsid w:val="005365BC"/>
    <w:rsid w:val="00537073"/>
    <w:rsid w:val="0054698E"/>
    <w:rsid w:val="00550FA0"/>
    <w:rsid w:val="00554388"/>
    <w:rsid w:val="00555A88"/>
    <w:rsid w:val="00575261"/>
    <w:rsid w:val="00582554"/>
    <w:rsid w:val="00586D3F"/>
    <w:rsid w:val="0059020C"/>
    <w:rsid w:val="00590809"/>
    <w:rsid w:val="00591222"/>
    <w:rsid w:val="005A1BCF"/>
    <w:rsid w:val="005A6915"/>
    <w:rsid w:val="005B732E"/>
    <w:rsid w:val="005C0113"/>
    <w:rsid w:val="005D229D"/>
    <w:rsid w:val="005F1625"/>
    <w:rsid w:val="00607559"/>
    <w:rsid w:val="00611745"/>
    <w:rsid w:val="00615A1B"/>
    <w:rsid w:val="00615ECE"/>
    <w:rsid w:val="0062443C"/>
    <w:rsid w:val="006325A5"/>
    <w:rsid w:val="00633C4B"/>
    <w:rsid w:val="006404B3"/>
    <w:rsid w:val="00642C13"/>
    <w:rsid w:val="00646F5F"/>
    <w:rsid w:val="00647A33"/>
    <w:rsid w:val="006620AD"/>
    <w:rsid w:val="00665BED"/>
    <w:rsid w:val="00667312"/>
    <w:rsid w:val="0066786E"/>
    <w:rsid w:val="00671772"/>
    <w:rsid w:val="00672DA1"/>
    <w:rsid w:val="00673298"/>
    <w:rsid w:val="006803B1"/>
    <w:rsid w:val="00690B21"/>
    <w:rsid w:val="00691780"/>
    <w:rsid w:val="00694402"/>
    <w:rsid w:val="00696308"/>
    <w:rsid w:val="0069668D"/>
    <w:rsid w:val="00697D52"/>
    <w:rsid w:val="006A0AA4"/>
    <w:rsid w:val="006A5040"/>
    <w:rsid w:val="006A79B5"/>
    <w:rsid w:val="006B475B"/>
    <w:rsid w:val="006D2C83"/>
    <w:rsid w:val="006F26E6"/>
    <w:rsid w:val="006F29EC"/>
    <w:rsid w:val="0070087A"/>
    <w:rsid w:val="00702566"/>
    <w:rsid w:val="007025AF"/>
    <w:rsid w:val="00721432"/>
    <w:rsid w:val="00721552"/>
    <w:rsid w:val="00725DA9"/>
    <w:rsid w:val="00727888"/>
    <w:rsid w:val="00730A9D"/>
    <w:rsid w:val="00732F0A"/>
    <w:rsid w:val="007510CC"/>
    <w:rsid w:val="00755FB9"/>
    <w:rsid w:val="00765D27"/>
    <w:rsid w:val="00766EE1"/>
    <w:rsid w:val="00766EEF"/>
    <w:rsid w:val="00770243"/>
    <w:rsid w:val="00784C93"/>
    <w:rsid w:val="00787126"/>
    <w:rsid w:val="00795477"/>
    <w:rsid w:val="007A3371"/>
    <w:rsid w:val="007B69B7"/>
    <w:rsid w:val="007B776B"/>
    <w:rsid w:val="007D2350"/>
    <w:rsid w:val="007E3645"/>
    <w:rsid w:val="00800671"/>
    <w:rsid w:val="00801768"/>
    <w:rsid w:val="008039A9"/>
    <w:rsid w:val="00805D30"/>
    <w:rsid w:val="00812AB3"/>
    <w:rsid w:val="0081371A"/>
    <w:rsid w:val="008168E9"/>
    <w:rsid w:val="00830E43"/>
    <w:rsid w:val="008361A0"/>
    <w:rsid w:val="00836E28"/>
    <w:rsid w:val="00842352"/>
    <w:rsid w:val="00847639"/>
    <w:rsid w:val="00874B84"/>
    <w:rsid w:val="008919F3"/>
    <w:rsid w:val="00891A3A"/>
    <w:rsid w:val="008A05C9"/>
    <w:rsid w:val="008B43E4"/>
    <w:rsid w:val="008C00EA"/>
    <w:rsid w:val="008C4AA9"/>
    <w:rsid w:val="008C4F99"/>
    <w:rsid w:val="008E628B"/>
    <w:rsid w:val="008E6349"/>
    <w:rsid w:val="008F12FC"/>
    <w:rsid w:val="00910C27"/>
    <w:rsid w:val="00915375"/>
    <w:rsid w:val="00930E46"/>
    <w:rsid w:val="0093370C"/>
    <w:rsid w:val="00937741"/>
    <w:rsid w:val="00950975"/>
    <w:rsid w:val="00951561"/>
    <w:rsid w:val="00961828"/>
    <w:rsid w:val="00967BA9"/>
    <w:rsid w:val="00971981"/>
    <w:rsid w:val="009909EC"/>
    <w:rsid w:val="00993BA2"/>
    <w:rsid w:val="009D153C"/>
    <w:rsid w:val="009D7433"/>
    <w:rsid w:val="009E225D"/>
    <w:rsid w:val="00A00452"/>
    <w:rsid w:val="00A05D16"/>
    <w:rsid w:val="00A14A51"/>
    <w:rsid w:val="00A15496"/>
    <w:rsid w:val="00A179F7"/>
    <w:rsid w:val="00A2270B"/>
    <w:rsid w:val="00A23D78"/>
    <w:rsid w:val="00A27ECD"/>
    <w:rsid w:val="00A311B7"/>
    <w:rsid w:val="00A32E41"/>
    <w:rsid w:val="00A34FAC"/>
    <w:rsid w:val="00A35F64"/>
    <w:rsid w:val="00A41AD0"/>
    <w:rsid w:val="00A41D5D"/>
    <w:rsid w:val="00A44B83"/>
    <w:rsid w:val="00A548A0"/>
    <w:rsid w:val="00A71EA7"/>
    <w:rsid w:val="00A7678E"/>
    <w:rsid w:val="00A77EB0"/>
    <w:rsid w:val="00A85652"/>
    <w:rsid w:val="00A92B45"/>
    <w:rsid w:val="00A95650"/>
    <w:rsid w:val="00A95B2C"/>
    <w:rsid w:val="00A9675D"/>
    <w:rsid w:val="00AB0501"/>
    <w:rsid w:val="00AB300E"/>
    <w:rsid w:val="00AB49F2"/>
    <w:rsid w:val="00AC1922"/>
    <w:rsid w:val="00AD0FA5"/>
    <w:rsid w:val="00AD3333"/>
    <w:rsid w:val="00AE2129"/>
    <w:rsid w:val="00AE3E90"/>
    <w:rsid w:val="00AF5631"/>
    <w:rsid w:val="00AF71F3"/>
    <w:rsid w:val="00B1049C"/>
    <w:rsid w:val="00B14112"/>
    <w:rsid w:val="00B14684"/>
    <w:rsid w:val="00B23764"/>
    <w:rsid w:val="00B26352"/>
    <w:rsid w:val="00B4194C"/>
    <w:rsid w:val="00B50823"/>
    <w:rsid w:val="00B57FF7"/>
    <w:rsid w:val="00B7254B"/>
    <w:rsid w:val="00B85040"/>
    <w:rsid w:val="00B85124"/>
    <w:rsid w:val="00B855EF"/>
    <w:rsid w:val="00B871FE"/>
    <w:rsid w:val="00B912E4"/>
    <w:rsid w:val="00B94F6E"/>
    <w:rsid w:val="00B9568E"/>
    <w:rsid w:val="00BA1427"/>
    <w:rsid w:val="00BA30CE"/>
    <w:rsid w:val="00BB073D"/>
    <w:rsid w:val="00BB1A2F"/>
    <w:rsid w:val="00BB6502"/>
    <w:rsid w:val="00BB6593"/>
    <w:rsid w:val="00C02E6F"/>
    <w:rsid w:val="00C0413C"/>
    <w:rsid w:val="00C078F6"/>
    <w:rsid w:val="00C102B9"/>
    <w:rsid w:val="00C10B57"/>
    <w:rsid w:val="00C258EC"/>
    <w:rsid w:val="00C2749D"/>
    <w:rsid w:val="00C6046F"/>
    <w:rsid w:val="00C630A3"/>
    <w:rsid w:val="00C665CA"/>
    <w:rsid w:val="00C66EAC"/>
    <w:rsid w:val="00C73BA5"/>
    <w:rsid w:val="00CA4040"/>
    <w:rsid w:val="00CB38B4"/>
    <w:rsid w:val="00CB3BF0"/>
    <w:rsid w:val="00CB7208"/>
    <w:rsid w:val="00CC78DB"/>
    <w:rsid w:val="00CD0EDC"/>
    <w:rsid w:val="00CD253A"/>
    <w:rsid w:val="00CD512A"/>
    <w:rsid w:val="00CD7692"/>
    <w:rsid w:val="00CE546E"/>
    <w:rsid w:val="00CE54FF"/>
    <w:rsid w:val="00CF37A7"/>
    <w:rsid w:val="00CF5FA1"/>
    <w:rsid w:val="00D14DC5"/>
    <w:rsid w:val="00D15575"/>
    <w:rsid w:val="00D169FB"/>
    <w:rsid w:val="00D20D76"/>
    <w:rsid w:val="00D216B7"/>
    <w:rsid w:val="00D22235"/>
    <w:rsid w:val="00D225BD"/>
    <w:rsid w:val="00D36A81"/>
    <w:rsid w:val="00D41E13"/>
    <w:rsid w:val="00D4377B"/>
    <w:rsid w:val="00D64AD5"/>
    <w:rsid w:val="00D65852"/>
    <w:rsid w:val="00D7185B"/>
    <w:rsid w:val="00D94648"/>
    <w:rsid w:val="00D96FBD"/>
    <w:rsid w:val="00D97E6D"/>
    <w:rsid w:val="00DA07EC"/>
    <w:rsid w:val="00DB16BF"/>
    <w:rsid w:val="00DD34F4"/>
    <w:rsid w:val="00DE087D"/>
    <w:rsid w:val="00DE08C6"/>
    <w:rsid w:val="00DE4CD5"/>
    <w:rsid w:val="00E02027"/>
    <w:rsid w:val="00E04046"/>
    <w:rsid w:val="00E30A25"/>
    <w:rsid w:val="00E47795"/>
    <w:rsid w:val="00E52691"/>
    <w:rsid w:val="00E52E15"/>
    <w:rsid w:val="00E56D7A"/>
    <w:rsid w:val="00E573EA"/>
    <w:rsid w:val="00E64F12"/>
    <w:rsid w:val="00E6799B"/>
    <w:rsid w:val="00E80CC8"/>
    <w:rsid w:val="00E86F8B"/>
    <w:rsid w:val="00E9011D"/>
    <w:rsid w:val="00EA0A2C"/>
    <w:rsid w:val="00EA61D2"/>
    <w:rsid w:val="00EB5CF9"/>
    <w:rsid w:val="00EC0511"/>
    <w:rsid w:val="00EC1F62"/>
    <w:rsid w:val="00EC34D7"/>
    <w:rsid w:val="00EC5116"/>
    <w:rsid w:val="00ED68A0"/>
    <w:rsid w:val="00EE1C10"/>
    <w:rsid w:val="00EE3FA4"/>
    <w:rsid w:val="00EE742D"/>
    <w:rsid w:val="00EE7B72"/>
    <w:rsid w:val="00EF4347"/>
    <w:rsid w:val="00EF4EC4"/>
    <w:rsid w:val="00EF5B45"/>
    <w:rsid w:val="00F03053"/>
    <w:rsid w:val="00F06319"/>
    <w:rsid w:val="00F07E8C"/>
    <w:rsid w:val="00F15C20"/>
    <w:rsid w:val="00F165E2"/>
    <w:rsid w:val="00F34702"/>
    <w:rsid w:val="00F35612"/>
    <w:rsid w:val="00F4097E"/>
    <w:rsid w:val="00F42188"/>
    <w:rsid w:val="00F4275E"/>
    <w:rsid w:val="00F4339B"/>
    <w:rsid w:val="00F719B8"/>
    <w:rsid w:val="00F74A25"/>
    <w:rsid w:val="00F77DF8"/>
    <w:rsid w:val="00F8252A"/>
    <w:rsid w:val="00F82EC9"/>
    <w:rsid w:val="00F86CF4"/>
    <w:rsid w:val="00F9132E"/>
    <w:rsid w:val="00F91E95"/>
    <w:rsid w:val="00F965F9"/>
    <w:rsid w:val="00FA3D96"/>
    <w:rsid w:val="00FB543B"/>
    <w:rsid w:val="00FD5132"/>
    <w:rsid w:val="00FE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C477"/>
  <w15:docId w15:val="{847D6ED2-705D-49B6-A406-DB831A1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90"/>
    <w:pPr>
      <w:spacing w:after="0" w:line="240" w:lineRule="auto"/>
    </w:pPr>
    <w:rPr>
      <w:rFonts w:ascii="Calibri"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docbaseattributestylewithoutnowrap1">
    <w:name w:val="defaultdocbaseattributestylewithoutnowrap1"/>
    <w:basedOn w:val="a0"/>
    <w:rsid w:val="003D7D90"/>
    <w:rPr>
      <w:rFonts w:ascii="Tahoma" w:hAnsi="Tahoma" w:cs="Tahoma" w:hint="default"/>
    </w:rPr>
  </w:style>
  <w:style w:type="paragraph" w:customStyle="1" w:styleId="CharChar4CharCharCharCharCharChar">
    <w:name w:val="Char Char4 Знак Знак Char Char Знак Знак Char Char Знак Char Char"/>
    <w:basedOn w:val="a"/>
    <w:semiHidden/>
    <w:rsid w:val="00F91E9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CharCharChar">
    <w:name w:val="Знак Знак1 Char Char Char"/>
    <w:basedOn w:val="a"/>
    <w:uiPriority w:val="99"/>
    <w:rsid w:val="009D153C"/>
    <w:pPr>
      <w:spacing w:after="160"/>
    </w:pPr>
    <w:rPr>
      <w:rFonts w:ascii="Arial" w:eastAsia="Times New Roman" w:hAnsi="Arial" w:cs="Arial"/>
      <w:b/>
      <w:bCs/>
      <w:color w:val="FFFFFF"/>
      <w:sz w:val="32"/>
      <w:szCs w:val="32"/>
      <w:lang w:val="en-US" w:eastAsia="en-US"/>
    </w:rPr>
  </w:style>
  <w:style w:type="paragraph" w:styleId="a3">
    <w:name w:val="List Paragraph"/>
    <w:basedOn w:val="a"/>
    <w:uiPriority w:val="34"/>
    <w:qFormat/>
    <w:rsid w:val="00971981"/>
    <w:pPr>
      <w:ind w:left="720"/>
      <w:contextualSpacing/>
    </w:pPr>
  </w:style>
  <w:style w:type="paragraph" w:styleId="a4">
    <w:name w:val="header"/>
    <w:basedOn w:val="a"/>
    <w:link w:val="a5"/>
    <w:uiPriority w:val="99"/>
    <w:unhideWhenUsed/>
    <w:rsid w:val="00441CB3"/>
    <w:pPr>
      <w:tabs>
        <w:tab w:val="center" w:pos="4677"/>
        <w:tab w:val="right" w:pos="9355"/>
      </w:tabs>
    </w:pPr>
  </w:style>
  <w:style w:type="character" w:customStyle="1" w:styleId="a5">
    <w:name w:val="Верхний колонтитул Знак"/>
    <w:basedOn w:val="a0"/>
    <w:link w:val="a4"/>
    <w:uiPriority w:val="99"/>
    <w:rsid w:val="00441CB3"/>
    <w:rPr>
      <w:rFonts w:ascii="Calibri" w:hAnsi="Calibri" w:cs="Calibri"/>
      <w:lang w:eastAsia="ru-RU"/>
    </w:rPr>
  </w:style>
  <w:style w:type="paragraph" w:styleId="a6">
    <w:name w:val="footer"/>
    <w:basedOn w:val="a"/>
    <w:link w:val="a7"/>
    <w:uiPriority w:val="99"/>
    <w:unhideWhenUsed/>
    <w:rsid w:val="00441CB3"/>
    <w:pPr>
      <w:tabs>
        <w:tab w:val="center" w:pos="4677"/>
        <w:tab w:val="right" w:pos="9355"/>
      </w:tabs>
    </w:pPr>
  </w:style>
  <w:style w:type="character" w:customStyle="1" w:styleId="a7">
    <w:name w:val="Нижний колонтитул Знак"/>
    <w:basedOn w:val="a0"/>
    <w:link w:val="a6"/>
    <w:uiPriority w:val="99"/>
    <w:rsid w:val="00441CB3"/>
    <w:rPr>
      <w:rFonts w:ascii="Calibri" w:hAnsi="Calibri" w:cs="Calibri"/>
      <w:lang w:eastAsia="ru-RU"/>
    </w:rPr>
  </w:style>
  <w:style w:type="table" w:styleId="a8">
    <w:name w:val="Table Grid"/>
    <w:basedOn w:val="a1"/>
    <w:uiPriority w:val="59"/>
    <w:rsid w:val="0084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rsid w:val="002305D0"/>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2305D0"/>
    <w:rPr>
      <w:rFonts w:ascii="Times New Roman" w:eastAsia="Times New Roman" w:hAnsi="Times New Roman" w:cs="Times New Roman"/>
      <w:sz w:val="20"/>
      <w:szCs w:val="20"/>
      <w:lang w:eastAsia="ru-RU"/>
    </w:rPr>
  </w:style>
  <w:style w:type="character" w:styleId="ab">
    <w:name w:val="footnote reference"/>
    <w:semiHidden/>
    <w:rsid w:val="002305D0"/>
    <w:rPr>
      <w:vertAlign w:val="superscript"/>
    </w:rPr>
  </w:style>
  <w:style w:type="character" w:styleId="ac">
    <w:name w:val="Hyperlink"/>
    <w:basedOn w:val="a0"/>
    <w:uiPriority w:val="99"/>
    <w:unhideWhenUsed/>
    <w:rsid w:val="00633C4B"/>
    <w:rPr>
      <w:color w:val="0000FF" w:themeColor="hyperlink"/>
      <w:u w:val="single"/>
    </w:rPr>
  </w:style>
  <w:style w:type="paragraph" w:customStyle="1" w:styleId="1">
    <w:name w:val="Абзац списка1"/>
    <w:basedOn w:val="a"/>
    <w:rsid w:val="00443FAC"/>
    <w:pPr>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B57FF7"/>
    <w:pPr>
      <w:ind w:left="720"/>
      <w:contextualSpacing/>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045D22"/>
    <w:rPr>
      <w:rFonts w:ascii="Tahoma" w:hAnsi="Tahoma" w:cs="Tahoma"/>
      <w:sz w:val="16"/>
      <w:szCs w:val="16"/>
    </w:rPr>
  </w:style>
  <w:style w:type="character" w:customStyle="1" w:styleId="ae">
    <w:name w:val="Текст выноски Знак"/>
    <w:basedOn w:val="a0"/>
    <w:link w:val="ad"/>
    <w:uiPriority w:val="99"/>
    <w:semiHidden/>
    <w:rsid w:val="00045D22"/>
    <w:rPr>
      <w:rFonts w:ascii="Tahoma" w:hAnsi="Tahoma" w:cs="Tahoma"/>
      <w:sz w:val="16"/>
      <w:szCs w:val="16"/>
      <w:lang w:eastAsia="ru-RU"/>
    </w:rPr>
  </w:style>
  <w:style w:type="paragraph" w:styleId="af">
    <w:name w:val="annotation text"/>
    <w:basedOn w:val="a"/>
    <w:link w:val="af0"/>
    <w:semiHidden/>
    <w:unhideWhenUsed/>
    <w:rsid w:val="00AE2129"/>
    <w:rPr>
      <w:sz w:val="20"/>
      <w:szCs w:val="20"/>
    </w:rPr>
  </w:style>
  <w:style w:type="character" w:customStyle="1" w:styleId="af0">
    <w:name w:val="Текст примечания Знак"/>
    <w:basedOn w:val="a0"/>
    <w:link w:val="af"/>
    <w:semiHidden/>
    <w:rsid w:val="00AE2129"/>
    <w:rPr>
      <w:rFonts w:ascii="Calibri" w:hAnsi="Calibri" w:cs="Calibri"/>
      <w:sz w:val="20"/>
      <w:szCs w:val="20"/>
      <w:lang w:eastAsia="ru-RU"/>
    </w:rPr>
  </w:style>
  <w:style w:type="character" w:styleId="af1">
    <w:name w:val="annotation reference"/>
    <w:semiHidden/>
    <w:rsid w:val="00AE212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3522">
      <w:bodyDiv w:val="1"/>
      <w:marLeft w:val="0"/>
      <w:marRight w:val="0"/>
      <w:marTop w:val="0"/>
      <w:marBottom w:val="0"/>
      <w:divBdr>
        <w:top w:val="none" w:sz="0" w:space="0" w:color="auto"/>
        <w:left w:val="none" w:sz="0" w:space="0" w:color="auto"/>
        <w:bottom w:val="none" w:sz="0" w:space="0" w:color="auto"/>
        <w:right w:val="none" w:sz="0" w:space="0" w:color="auto"/>
      </w:divBdr>
    </w:div>
    <w:div w:id="1800030979">
      <w:bodyDiv w:val="1"/>
      <w:marLeft w:val="0"/>
      <w:marRight w:val="0"/>
      <w:marTop w:val="0"/>
      <w:marBottom w:val="0"/>
      <w:divBdr>
        <w:top w:val="none" w:sz="0" w:space="0" w:color="auto"/>
        <w:left w:val="none" w:sz="0" w:space="0" w:color="auto"/>
        <w:bottom w:val="none" w:sz="0" w:space="0" w:color="auto"/>
        <w:right w:val="none" w:sz="0" w:space="0" w:color="auto"/>
      </w:divBdr>
    </w:div>
    <w:div w:id="20955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C976-28EB-47D1-9486-1B545B4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7</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Ермакова Анна Валентиновна</dc:creator>
  <cp:lastModifiedBy>Градиленко Игорь Игоревич</cp:lastModifiedBy>
  <cp:revision>96</cp:revision>
  <cp:lastPrinted>2018-12-26T11:01:00Z</cp:lastPrinted>
  <dcterms:created xsi:type="dcterms:W3CDTF">2018-06-14T13:37:00Z</dcterms:created>
  <dcterms:modified xsi:type="dcterms:W3CDTF">2019-02-26T11:38:00Z</dcterms:modified>
</cp:coreProperties>
</file>